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三河市文化广电和旅游局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hint="eastAsia" w:ascii="Times New Roman" w:hAnsi="Times New Roman" w:eastAsia="方正小标宋简体" w:cs="Times New Roman"/>
          <w:sz w:val="44"/>
          <w:szCs w:val="44"/>
          <w:lang w:eastAsia="zh-CN"/>
        </w:rPr>
        <w:t>年单位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三河市文化广电和旅游局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hint="default" w:ascii="Times New Roman" w:hAnsi="Times New Roman" w:eastAsia="黑体" w:cs="Times New Roman"/>
          <w:sz w:val="32"/>
          <w:szCs w:val="32"/>
          <w:lang w:val="en-US" w:eastAsia="zh-CN"/>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（一）贯彻国家和省、市关于文化广电、旅游工作的方针、政策和法规，研究拟订我市文化广电、旅游工作方针、政策，并监督实施。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（二）拟订全市文化广电、旅游事业发展规划并组织实施，推进文化广电、旅游领域的体制机制改革。</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（三）指导、管理全市文化广电、旅游事业，指导艺术创作与生产，推动各门类艺术的发展，管理全市性重大文化广电、旅游活动。</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（四）负责推动全市文化艺术领域的公共文化服务，规划、引导公共文化产品创新生产，指导市重点文化设施建设和基层文化设施建设。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（五）指导、管理全市社会文化事业，指导图书馆、博物馆、文化馆（站）事业，繁荣群众文化生活。</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（六）拟订全市非物质文化遗产保护规划及规定，组织实施非物质文化遗产保护和优秀民族文化的传承普及工作。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（七）拟订全市文化市场发展规划，并组织实施。</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（八）拟订全市文化艺术、广播电视、旅游产业发展规划，指导、协调文化艺术、广播电视、旅游产业发展，推进对外文化产业交流与合作。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（九）拟定全市文物和博物馆事业发展规划；负责组织全市文物资源的调查、勘探、发掘、保护、开发和利用；组织指导文物保护宣传工作；拟订文物保护制度和办法并负责督促检查。</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（十）拟定全市文化广电、旅游科技发展规划并监督实施，推进文化广电、旅游科技信息建设。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一）指导协调广播电视全市性重大宣传活动。负责对全市广播电视机构进行业务指导和行业监管，监管全市广播电视节目、网络视听节目和公共视听载体播放的视听节目，会同有关部门对全市网络视听节目服务机构进行管理，指导、监管全市广播电视广告播放。</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二）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（十三）负责对全市广播电视节目传输覆盖、监听、监看、监测的监管，推进全市应急广播体系建设，监管协调调度全市广播电视安全播出。负责全市广播电视统计工作。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（十四）指导全市文化市场综合执法。组织查处全市性、跨区域文化、文物、广播电视、旅游等市场的违法行为，督查督办大案要案，维护市场秩序。</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(十五)指导、管理全市文化、旅游、广播电视、文物领域对外交流、合作和宣传、推广工作。组织大型文化和旅游对外及对港澳台交流活动，推动中华文化和三河特色文化走出去。</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（十六）负责本系统和本部门职责范围内安全生产工作。</w:t>
      </w:r>
    </w:p>
    <w:p>
      <w:pPr>
        <w:spacing w:line="600"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（十七）完成市委、市政府交办的其他</w:t>
      </w:r>
      <w:r>
        <w:rPr>
          <w:rFonts w:hint="eastAsia" w:ascii="仿宋_GB2312" w:hAnsi="宋体" w:eastAsia="仿宋_GB2312"/>
          <w:sz w:val="32"/>
          <w:szCs w:val="32"/>
          <w:lang w:eastAsia="zh-CN"/>
        </w:rPr>
        <w:t>任务</w:t>
      </w:r>
      <w:r>
        <w:rPr>
          <w:rFonts w:hint="eastAsia" w:ascii="仿宋_GB2312" w:hAnsi="宋体" w:eastAsia="仿宋_GB2312"/>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65"/>
        <w:gridCol w:w="1412"/>
        <w:gridCol w:w="1468"/>
        <w:gridCol w:w="2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 w:hRule="atLeast"/>
          <w:tblHeader/>
          <w:jc w:val="center"/>
        </w:trPr>
        <w:tc>
          <w:tcPr>
            <w:tcW w:w="4165" w:type="dxa"/>
            <w:vMerge w:val="restart"/>
            <w:noWrap w:val="0"/>
            <w:vAlign w:val="center"/>
          </w:tcPr>
          <w:p>
            <w:pPr>
              <w:spacing w:line="584" w:lineRule="exact"/>
              <w:jc w:val="center"/>
              <w:rPr>
                <w:rFonts w:eastAsia="方正书宋_GBK"/>
                <w:b/>
                <w:color w:val="auto"/>
              </w:rPr>
            </w:pPr>
            <w:r>
              <w:rPr>
                <w:rFonts w:ascii="Times New Roman" w:hAnsi="Times New Roman" w:eastAsia="仿宋_GB2312" w:cs="Times New Roman"/>
                <w:b/>
                <w:sz w:val="28"/>
                <w:szCs w:val="28"/>
              </w:rPr>
              <w:t>单位名称</w:t>
            </w:r>
          </w:p>
        </w:tc>
        <w:tc>
          <w:tcPr>
            <w:tcW w:w="1412" w:type="dxa"/>
            <w:vMerge w:val="restart"/>
            <w:noWrap w:val="0"/>
            <w:vAlign w:val="center"/>
          </w:tcPr>
          <w:p>
            <w:pPr>
              <w:spacing w:line="584" w:lineRule="exact"/>
              <w:jc w:val="center"/>
              <w:rPr>
                <w:rFonts w:eastAsia="方正书宋_GBK"/>
                <w:b/>
                <w:color w:val="auto"/>
              </w:rPr>
            </w:pPr>
            <w:r>
              <w:rPr>
                <w:rFonts w:ascii="Times New Roman" w:hAnsi="Times New Roman" w:eastAsia="仿宋_GB2312" w:cs="Times New Roman"/>
                <w:b/>
                <w:sz w:val="28"/>
                <w:szCs w:val="28"/>
              </w:rPr>
              <w:t>单位性质</w:t>
            </w:r>
          </w:p>
        </w:tc>
        <w:tc>
          <w:tcPr>
            <w:tcW w:w="1468" w:type="dxa"/>
            <w:vMerge w:val="restart"/>
            <w:noWrap w:val="0"/>
            <w:vAlign w:val="center"/>
          </w:tcPr>
          <w:p>
            <w:pPr>
              <w:spacing w:line="584" w:lineRule="exact"/>
              <w:jc w:val="center"/>
              <w:rPr>
                <w:rFonts w:eastAsia="方正书宋_GBK"/>
                <w:b/>
                <w:color w:val="auto"/>
              </w:rPr>
            </w:pPr>
            <w:r>
              <w:rPr>
                <w:rFonts w:ascii="Times New Roman" w:hAnsi="Times New Roman" w:eastAsia="仿宋_GB2312" w:cs="Times New Roman"/>
                <w:b/>
                <w:sz w:val="28"/>
                <w:szCs w:val="28"/>
              </w:rPr>
              <w:t>单位规格</w:t>
            </w:r>
          </w:p>
        </w:tc>
        <w:tc>
          <w:tcPr>
            <w:tcW w:w="2710" w:type="dxa"/>
            <w:vMerge w:val="restart"/>
            <w:noWrap w:val="0"/>
            <w:vAlign w:val="center"/>
          </w:tcPr>
          <w:p>
            <w:pPr>
              <w:spacing w:line="584" w:lineRule="exact"/>
              <w:jc w:val="center"/>
              <w:rPr>
                <w:rFonts w:eastAsia="方正书宋_GBK"/>
                <w:b/>
                <w:color w:val="auto"/>
              </w:rPr>
            </w:pPr>
            <w:r>
              <w:rPr>
                <w:rFonts w:ascii="Times New Roman" w:hAnsi="Times New Roman" w:eastAsia="仿宋_GB2312"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165" w:type="dxa"/>
            <w:vMerge w:val="continue"/>
            <w:noWrap w:val="0"/>
            <w:vAlign w:val="center"/>
          </w:tcPr>
          <w:p>
            <w:pPr>
              <w:spacing w:line="520" w:lineRule="exact"/>
              <w:jc w:val="left"/>
              <w:outlineLvl w:val="0"/>
              <w:rPr>
                <w:color w:val="auto"/>
              </w:rPr>
            </w:pPr>
          </w:p>
        </w:tc>
        <w:tc>
          <w:tcPr>
            <w:tcW w:w="1412" w:type="dxa"/>
            <w:vMerge w:val="continue"/>
            <w:noWrap w:val="0"/>
            <w:vAlign w:val="center"/>
          </w:tcPr>
          <w:p>
            <w:pPr>
              <w:spacing w:line="520" w:lineRule="exact"/>
              <w:jc w:val="left"/>
              <w:outlineLvl w:val="0"/>
              <w:rPr>
                <w:color w:val="auto"/>
              </w:rPr>
            </w:pPr>
          </w:p>
        </w:tc>
        <w:tc>
          <w:tcPr>
            <w:tcW w:w="1468" w:type="dxa"/>
            <w:vMerge w:val="continue"/>
            <w:noWrap w:val="0"/>
            <w:vAlign w:val="center"/>
          </w:tcPr>
          <w:p>
            <w:pPr>
              <w:spacing w:line="520" w:lineRule="exact"/>
              <w:jc w:val="left"/>
              <w:outlineLvl w:val="0"/>
              <w:rPr>
                <w:color w:val="auto"/>
              </w:rPr>
            </w:pPr>
          </w:p>
        </w:tc>
        <w:tc>
          <w:tcPr>
            <w:tcW w:w="2710" w:type="dxa"/>
            <w:vMerge w:val="continue"/>
            <w:noWrap w:val="0"/>
            <w:vAlign w:val="center"/>
          </w:tcPr>
          <w:p>
            <w:pPr>
              <w:spacing w:line="520" w:lineRule="exact"/>
              <w:jc w:val="left"/>
              <w:outlineLvl w:val="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4165" w:type="dxa"/>
            <w:noWrap w:val="0"/>
            <w:vAlign w:val="center"/>
          </w:tcPr>
          <w:p>
            <w:pPr>
              <w:spacing w:line="520" w:lineRule="exact"/>
              <w:jc w:val="left"/>
              <w:rPr>
                <w:rFonts w:hint="eastAsia" w:ascii="宋体" w:hAnsi="宋体" w:eastAsia="宋体" w:cs="宋体"/>
                <w:color w:val="auto"/>
              </w:rPr>
            </w:pPr>
            <w:r>
              <w:rPr>
                <w:rFonts w:hint="eastAsia" w:ascii="宋体" w:hAnsi="宋体" w:eastAsia="宋体" w:cs="宋体"/>
                <w:color w:val="auto"/>
                <w:lang w:eastAsia="zh-CN"/>
              </w:rPr>
              <w:t>三河市文化广电和旅游</w:t>
            </w:r>
            <w:r>
              <w:rPr>
                <w:rFonts w:hint="eastAsia" w:ascii="宋体" w:hAnsi="宋体" w:eastAsia="宋体" w:cs="宋体"/>
                <w:color w:val="auto"/>
              </w:rPr>
              <w:t>局</w:t>
            </w:r>
          </w:p>
        </w:tc>
        <w:tc>
          <w:tcPr>
            <w:tcW w:w="1412"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行政</w:t>
            </w:r>
          </w:p>
        </w:tc>
        <w:tc>
          <w:tcPr>
            <w:tcW w:w="1468"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正科级</w:t>
            </w:r>
          </w:p>
        </w:tc>
        <w:tc>
          <w:tcPr>
            <w:tcW w:w="2710" w:type="dxa"/>
            <w:noWrap w:val="0"/>
            <w:vAlign w:val="center"/>
          </w:tcPr>
          <w:p>
            <w:pPr>
              <w:spacing w:line="520" w:lineRule="exact"/>
              <w:jc w:val="center"/>
              <w:rPr>
                <w:rFonts w:hint="eastAsia" w:ascii="宋体" w:hAnsi="宋体" w:eastAsia="宋体" w:cs="宋体"/>
                <w:color w:val="auto"/>
              </w:rPr>
            </w:pPr>
            <w:r>
              <w:rPr>
                <w:rFonts w:hint="eastAsia" w:ascii="宋体" w:hAnsi="宋体" w:eastAsia="宋体" w:cs="宋体"/>
                <w:color w:val="auto"/>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5697.70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5671.89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25.81</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年度</w:t>
      </w:r>
      <w:r>
        <w:rPr>
          <w:rFonts w:hint="eastAsia" w:ascii="仿宋_GB2312" w:hAnsi="仿宋_GB2312" w:eastAsia="仿宋_GB2312" w:cs="仿宋_GB2312"/>
          <w:sz w:val="30"/>
          <w:szCs w:val="30"/>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5697.70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2257.51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2151.10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106.41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3440.19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文化旅游体育与传媒支出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城乡社区支出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一般公共服务支出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5697.70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118.12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169.57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287.69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文化旅游体育与传媒</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106.41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三河市文化广电和旅游局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仿宋_GB2312" w:hAnsi="仿宋_GB2312" w:eastAsia="仿宋_GB2312" w:cs="仿宋_GB2312"/>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5.97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5.13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0.84</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年相比持平，无增减变化（其中：公务用车购置费与20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仿宋_GB2312" w:hAnsi="仿宋_GB2312" w:eastAsia="仿宋_GB2312" w:cs="仿宋_GB2312"/>
          <w:sz w:val="30"/>
          <w:szCs w:val="30"/>
          <w:lang w:eastAsia="zh-CN"/>
        </w:rPr>
        <w:t>单位</w:t>
      </w:r>
      <w:r>
        <w:rPr>
          <w:rFonts w:hint="eastAsia" w:ascii="Times New Roman" w:hAnsi="Times New Roman" w:eastAsia="仿宋_GB2312" w:cs="Times New Roman"/>
          <w:sz w:val="32"/>
          <w:szCs w:val="32"/>
          <w:lang w:eastAsia="zh-CN"/>
        </w:rPr>
        <w:t>无新增公务用车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0.61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ind w:left="0" w:leftChars="0" w:firstLine="640" w:firstLineChars="200"/>
        <w:rPr>
          <w:rFonts w:ascii="仿宋_GB2312" w:eastAsia="仿宋_GB2312" w:cs="Times New Roman"/>
          <w:sz w:val="32"/>
          <w:szCs w:val="32"/>
        </w:rPr>
      </w:pPr>
      <w:r>
        <w:rPr>
          <w:rFonts w:hint="eastAsia" w:ascii="Times New Roman" w:hAnsi="Times New Roman" w:eastAsia="仿宋_GB2312" w:cs="Times New Roman"/>
          <w:kern w:val="2"/>
          <w:sz w:val="32"/>
          <w:szCs w:val="32"/>
          <w:lang w:val="en-US" w:eastAsia="zh-CN" w:bidi="ar-SA"/>
        </w:rPr>
        <w:t>2023年，我</w:t>
      </w:r>
      <w:r>
        <w:rPr>
          <w:rFonts w:hint="eastAsia" w:ascii="仿宋_GB2312" w:hAnsi="仿宋_GB2312" w:eastAsia="仿宋_GB2312" w:cs="仿宋_GB2312"/>
          <w:sz w:val="32"/>
          <w:szCs w:val="32"/>
          <w:lang w:eastAsia="zh-CN"/>
        </w:rPr>
        <w:t>单位</w:t>
      </w:r>
      <w:r>
        <w:rPr>
          <w:rFonts w:hint="eastAsia" w:ascii="Times New Roman" w:hAnsi="Times New Roman" w:eastAsia="仿宋_GB2312" w:cs="Times New Roman"/>
          <w:kern w:val="2"/>
          <w:sz w:val="32"/>
          <w:szCs w:val="32"/>
          <w:lang w:val="en-US" w:eastAsia="zh-CN" w:bidi="ar-SA"/>
        </w:rPr>
        <w:t>将坚持以习近平新时代中国特色社会主义思想为指导，深入学习贯彻党的二十大精神，严要求高标准加强党的领导和党的建设，坚持全面从严治党主体责任，紧紧围绕全市重点工作和目标，自觉担负起文旅人的使命任务，攻坚克难、苦干实干，全力完成年度各项工作任务，为推动三河经济社会高质量发展提供文旅支撑。</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1</w:t>
      </w:r>
      <w:r>
        <w:rPr>
          <w:rFonts w:hint="eastAsia" w:ascii="Times New Roman" w:hAnsi="Times New Roman" w:eastAsia="仿宋_GB2312" w:cs="Times New Roman"/>
          <w:b/>
          <w:bCs/>
          <w:kern w:val="2"/>
          <w:sz w:val="32"/>
          <w:szCs w:val="32"/>
          <w:lang w:val="en-US" w:eastAsia="zh-CN" w:bidi="ar-SA"/>
        </w:rPr>
        <w:t>、持续开展文化惠民工程。</w:t>
      </w:r>
      <w:r>
        <w:rPr>
          <w:rFonts w:hint="eastAsia" w:ascii="Times New Roman" w:hAnsi="Times New Roman" w:eastAsia="仿宋_GB2312" w:cs="Times New Roman"/>
          <w:kern w:val="2"/>
          <w:sz w:val="32"/>
          <w:szCs w:val="32"/>
          <w:lang w:val="en-US" w:eastAsia="zh-CN" w:bidi="ar-SA"/>
        </w:rPr>
        <w:t>一是根据疫情形势，安排好文化下乡、“传统文化进校园”和各类特色演出活动。二是持续开展文化惠民（卡）券发放。三是继续开展好主题书画影展、群众文化大培训、“我们的节日”、全民阅读推广等系列文化活动。</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2、推进公共文化服务体系建设。</w:t>
      </w:r>
      <w:r>
        <w:rPr>
          <w:rFonts w:hint="eastAsia" w:ascii="Times New Roman" w:hAnsi="Times New Roman" w:eastAsia="仿宋_GB2312" w:cs="Times New Roman"/>
          <w:kern w:val="2"/>
          <w:sz w:val="32"/>
          <w:szCs w:val="32"/>
          <w:lang w:val="en-US" w:eastAsia="zh-CN" w:bidi="ar-SA"/>
        </w:rPr>
        <w:t>一是提升乡镇（街道）综合文化站建设质量和服务效能，计划2023年争取完成3个文化站达到二级站及以上标准，加强乡镇（街道）综合文化站负责人业务培训，统筹好2023年“基层文化站服务人次”数据统计工作。二是推进每个乡镇（街道）建成2个基层群众文艺辅导基地。三是打造融合图书借阅、艺术展览、文化沙龙、文创产品和旅游商品展示、轻食餐饮等服务的城市书房、乡村书吧、文化驿站等新型公共文化空间1个。四是计划在东、西市区建设5座24小时自助图书馆，逐步实现全民阅读公共服务网络的全覆盖。五是计划建设提升旅游厕所4座。六是打造文旅共融场景，深化三河市与中央美术学院校地合作，以美学美育教育合作和基础公共服务设施建设为突破口，全力推进中央美术学院燕郊校区美术馆、艺术图书馆设计规划建设工作。</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3、推进文旅产业高质量发展。</w:t>
      </w:r>
      <w:r>
        <w:rPr>
          <w:rFonts w:hint="eastAsia" w:ascii="Times New Roman" w:hAnsi="Times New Roman" w:eastAsia="仿宋_GB2312" w:cs="Times New Roman"/>
          <w:kern w:val="2"/>
          <w:sz w:val="32"/>
          <w:szCs w:val="32"/>
          <w:lang w:val="en-US" w:eastAsia="zh-CN" w:bidi="ar-SA"/>
        </w:rPr>
        <w:t>一是持续推动东部山区文旅项目建设。跟进现有项目燕山生态旅游文化园，梦马田园主题乐园建设，推进新项目栲栳山运动休闲谷开工。二是推动燕潮酩酒文化展馆3A级景区创建。三是推动乡村旅游发展，评定三河市星级民宿，培育壮大精品民宿品牌。四是深化与燕京理工学院合作。联合铭泰产业园、富地文体商旅街区、珑珐琅景泰蓝展陈体验馆、燕潮酩酒文化展馆、栲栳山运动休闲谷等文旅项目单位，共同打造师训基地；共同开发文创产品及旅游商品。五是持续打造精品线路。以国内学术等级最高、展品最为丰富的国家级地质实物资料中心；场馆面积世界第二、亚洲第一的航天主题科技馆--梦东方未来世界；河北省规模最大、专业性最强的公共安全应急体验场馆--爱翌安邦公共安全体验馆等国家3A、4A级旅游景区等景区为依托，持续打造“上天、入地、下海、安全”的青少年科普研学体验精品线路。六是推动京东文旅圈创新发展。与京东文旅圈成员单位，通州区、平谷区、蓟州区、宝坻区、遵化市、兴隆县、香河县、大厂县等京东八县（市、区）规划建立联动机制，联合打造区域IP文旅品牌，共同策划跨区域旅游产品，共同开发跨区域旅游精品线路。推动“京东休闲旅游示范区”创建工作，落实“通武廊”三地旅游合作联盟框架协议，宣传三河市文旅资源。七是创建京东影视联盟。依托现有影视项目铭泰文创科技园，燕京理工学院传媒学院等专业团队，创建集影视动漫，文旅融媒体，光影秀场，文艺演艺等为一体的京东影视联盟。</w:t>
      </w:r>
    </w:p>
    <w:p>
      <w:pPr>
        <w:pStyle w:val="25"/>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4、持续加强行业监管力度。</w:t>
      </w:r>
      <w:r>
        <w:rPr>
          <w:rFonts w:hint="eastAsia" w:ascii="Times New Roman" w:hAnsi="Times New Roman" w:eastAsia="仿宋_GB2312" w:cs="Times New Roman"/>
          <w:kern w:val="2"/>
          <w:sz w:val="32"/>
          <w:szCs w:val="32"/>
          <w:lang w:val="en-US" w:eastAsia="zh-CN" w:bidi="ar-SA"/>
        </w:rPr>
        <w:t>一是做好疫情防控常态化各项工作，坚守好文旅行业防线，持续提升疫情防控工作水平。二是扎实开展安全生产专项整治三年行动、大检查、既有房屋整治等重点工作。三是突出行业监管，以平安三河建设为抓手，开展好“扫黄打非”、社会治理三年工程、校园周边环境整治、社会信用体系建设等各项市场治理专项行动，为文旅市场营造良好的法治营商环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1、完善预算绩效管理制度建设。</w:t>
      </w:r>
      <w:r>
        <w:rPr>
          <w:rFonts w:hint="eastAsia" w:ascii="Times New Roman" w:hAnsi="Times New Roman" w:eastAsia="仿宋_GB2312" w:cs="Times New Roman"/>
          <w:kern w:val="2"/>
          <w:sz w:val="32"/>
          <w:szCs w:val="32"/>
          <w:lang w:val="en-US" w:eastAsia="zh-CN" w:bidi="ar-SA"/>
        </w:rPr>
        <w:t>为进一步加强预算绩效管理，提高预算绩效目标管理的科学性、规范性和有效性，根据《中共三河市委三河市人民政府关于全面实施预算绩效管理的实施意见》（三发〔2019〕18号）的有关规定，参照《三河市财政局预算绩效目标管理办法（试行）》,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制定完善《整体绩效评价管理办法》、《事前绩效评估管理办法》、《绩效运行监控管理办法》和《绩效目标管理管理办法》，确保</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预算绩效执行的科学性和合理性。</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2、认真贯彻单位《财务支出管理办法》。</w:t>
      </w:r>
      <w:r>
        <w:rPr>
          <w:rFonts w:hint="eastAsia" w:ascii="Times New Roman" w:hAnsi="Times New Roman" w:eastAsia="仿宋_GB2312" w:cs="Times New Roman"/>
          <w:kern w:val="2"/>
          <w:sz w:val="32"/>
          <w:szCs w:val="32"/>
          <w:lang w:val="en-US" w:eastAsia="zh-CN" w:bidi="ar-SA"/>
        </w:rPr>
        <w:t>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完善强化《财务支出管理办法》、《预算业务管理制度》，加强支出管理、提高资金使用效率，确保项目资金支出的及时性、合理性和合规性，增强预算的科学性。</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3、做好绩效自评。</w:t>
      </w:r>
      <w:r>
        <w:rPr>
          <w:rFonts w:hint="eastAsia" w:ascii="Times New Roman" w:hAnsi="Times New Roman" w:eastAsia="仿宋_GB2312" w:cs="Times New Roman"/>
          <w:kern w:val="2"/>
          <w:sz w:val="32"/>
          <w:szCs w:val="32"/>
          <w:lang w:val="en-US" w:eastAsia="zh-CN" w:bidi="ar-SA"/>
        </w:rPr>
        <w:t>按照财政部门的相关要求，我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按照要求的时间节点做好我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相关项目支出的绩效自评工作。对各个项目绩效自评情况进行及时整理、归纳、分析，将其作为改善我单位预算管理工作和安排以后年度预算的依据。不断完善绩效评价指标，逐步建立符合我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工作特点的绩效评价指标体系。</w:t>
      </w:r>
    </w:p>
    <w:p>
      <w:pPr>
        <w:pStyle w:val="25"/>
        <w:ind w:left="0" w:leftChars="0" w:firstLine="643" w:firstLineChars="200"/>
        <w:rPr>
          <w:rFonts w:hint="eastAsia" w:ascii="Times New Roman" w:hAnsi="Times New Roman" w:eastAsia="仿宋_GB2312" w:cs="Times New Roman"/>
          <w:kern w:val="2"/>
          <w:sz w:val="32"/>
          <w:szCs w:val="32"/>
          <w:lang w:val="en-US" w:eastAsia="zh-CN" w:bidi="ar-SA"/>
        </w:rPr>
      </w:pPr>
      <w:r>
        <w:rPr>
          <w:rFonts w:hint="eastAsia" w:eastAsia="仿宋_GB2312" w:cs="Times New Roman"/>
          <w:b/>
          <w:bCs/>
          <w:kern w:val="2"/>
          <w:sz w:val="32"/>
          <w:szCs w:val="32"/>
          <w:lang w:val="en-US" w:eastAsia="zh-CN" w:bidi="ar-SA"/>
        </w:rPr>
        <w:t>4、开展宣传培训调研工作。</w:t>
      </w:r>
      <w:r>
        <w:rPr>
          <w:rFonts w:hint="eastAsia" w:ascii="Times New Roman" w:hAnsi="Times New Roman" w:eastAsia="仿宋_GB2312" w:cs="Times New Roman"/>
          <w:kern w:val="2"/>
          <w:sz w:val="32"/>
          <w:szCs w:val="32"/>
          <w:lang w:val="en-US" w:eastAsia="zh-CN" w:bidi="ar-SA"/>
        </w:rPr>
        <w:t>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组织下属单位积极参加财政部门组织的绩效目标管理培训会议和讲座，同时组织机关各股室、各部门开展专项项目预算编审培训会、绩效管理培训会，针对绩效目标各项指标的编审开展专家辅导培训会，为我</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各项专项项目的绩效目标指标设定奠定基础。</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pPr w:leftFromText="180" w:rightFromText="180" w:vertAnchor="text" w:horzAnchor="page" w:tblpX="3923" w:tblpY="1051"/>
        <w:tblOverlap w:val="never"/>
        <w:tblW w:w="0" w:type="auto"/>
        <w:tblInd w:w="0" w:type="dxa"/>
        <w:tblLayout w:type="fixed"/>
        <w:tblCellMar>
          <w:top w:w="0" w:type="dxa"/>
          <w:left w:w="11" w:type="dxa"/>
          <w:bottom w:w="0" w:type="dxa"/>
          <w:right w:w="11" w:type="dxa"/>
        </w:tblCellMar>
      </w:tblPr>
      <w:tblGrid>
        <w:gridCol w:w="880"/>
        <w:gridCol w:w="780"/>
        <w:gridCol w:w="1307"/>
        <w:gridCol w:w="1171"/>
        <w:gridCol w:w="1171"/>
        <w:gridCol w:w="591"/>
        <w:gridCol w:w="590"/>
        <w:gridCol w:w="590"/>
        <w:gridCol w:w="1834"/>
      </w:tblGrid>
      <w:tr>
        <w:tblPrEx>
          <w:tblCellMar>
            <w:top w:w="0" w:type="dxa"/>
            <w:left w:w="11" w:type="dxa"/>
            <w:bottom w:w="0" w:type="dxa"/>
            <w:right w:w="11" w:type="dxa"/>
          </w:tblCellMar>
        </w:tblPrEx>
        <w:trPr>
          <w:trHeight w:val="256" w:hRule="atLeast"/>
        </w:trPr>
        <w:tc>
          <w:tcPr>
            <w:tcW w:w="8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一级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7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二级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130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eastAsia="仿宋_GB2312"/>
                <w:b/>
                <w:color w:val="000000"/>
                <w:kern w:val="0"/>
                <w:sz w:val="24"/>
              </w:rPr>
            </w:pPr>
            <w:r>
              <w:rPr>
                <w:rFonts w:hint="eastAsia" w:eastAsia="仿宋_GB2312"/>
                <w:b/>
                <w:color w:val="000000"/>
                <w:kern w:val="0"/>
                <w:sz w:val="24"/>
              </w:rPr>
              <w:t>三级</w:t>
            </w:r>
          </w:p>
          <w:p>
            <w:pPr>
              <w:widowControl/>
              <w:adjustRightInd w:val="0"/>
              <w:snapToGrid w:val="0"/>
              <w:jc w:val="center"/>
              <w:rPr>
                <w:rFonts w:eastAsia="仿宋_GB2312"/>
                <w:color w:val="000000"/>
                <w:kern w:val="0"/>
                <w:sz w:val="24"/>
              </w:rPr>
            </w:pPr>
            <w:r>
              <w:rPr>
                <w:rFonts w:hint="eastAsia" w:eastAsia="仿宋_GB2312"/>
                <w:b/>
                <w:color w:val="000000"/>
                <w:kern w:val="0"/>
                <w:sz w:val="24"/>
              </w:rPr>
              <w:t>指标</w:t>
            </w:r>
          </w:p>
        </w:tc>
        <w:tc>
          <w:tcPr>
            <w:tcW w:w="117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eastAsia="仿宋_GB2312"/>
                <w:b/>
                <w:color w:val="000000"/>
                <w:kern w:val="0"/>
                <w:sz w:val="24"/>
              </w:rPr>
            </w:pPr>
            <w:r>
              <w:rPr>
                <w:rFonts w:hint="eastAsia" w:eastAsia="仿宋_GB2312"/>
                <w:b/>
                <w:color w:val="000000"/>
                <w:kern w:val="0"/>
                <w:sz w:val="24"/>
              </w:rPr>
              <w:t>评（扣）分标准</w:t>
            </w:r>
          </w:p>
        </w:tc>
        <w:tc>
          <w:tcPr>
            <w:tcW w:w="1171"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r>
              <w:rPr>
                <w:rFonts w:hint="eastAsia" w:eastAsia="仿宋_GB2312"/>
                <w:b/>
                <w:color w:val="000000"/>
                <w:kern w:val="0"/>
                <w:sz w:val="24"/>
              </w:rPr>
              <w:t>绩效指标描述</w:t>
            </w:r>
          </w:p>
        </w:tc>
        <w:tc>
          <w:tcPr>
            <w:tcW w:w="1771"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r>
              <w:rPr>
                <w:rFonts w:hint="eastAsia" w:eastAsia="仿宋_GB2312"/>
                <w:b/>
                <w:bCs/>
                <w:color w:val="000000"/>
                <w:kern w:val="0"/>
                <w:sz w:val="24"/>
              </w:rPr>
              <w:t>指标值</w:t>
            </w:r>
          </w:p>
        </w:tc>
        <w:tc>
          <w:tcPr>
            <w:tcW w:w="1834"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r>
              <w:rPr>
                <w:rFonts w:hint="eastAsia" w:eastAsia="仿宋_GB2312"/>
                <w:b/>
                <w:bCs/>
                <w:color w:val="000000"/>
                <w:kern w:val="0"/>
                <w:sz w:val="24"/>
              </w:rPr>
              <w:t>指标值确定依据</w:t>
            </w:r>
          </w:p>
        </w:tc>
      </w:tr>
      <w:tr>
        <w:tblPrEx>
          <w:tblCellMar>
            <w:top w:w="0" w:type="dxa"/>
            <w:left w:w="11" w:type="dxa"/>
            <w:bottom w:w="0" w:type="dxa"/>
            <w:right w:w="11" w:type="dxa"/>
          </w:tblCellMar>
        </w:tblPrEx>
        <w:trPr>
          <w:trHeight w:val="270" w:hRule="atLeast"/>
        </w:trPr>
        <w:tc>
          <w:tcPr>
            <w:tcW w:w="88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p>
        </w:tc>
        <w:tc>
          <w:tcPr>
            <w:tcW w:w="780"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p>
        </w:tc>
        <w:tc>
          <w:tcPr>
            <w:tcW w:w="130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p>
        </w:tc>
        <w:tc>
          <w:tcPr>
            <w:tcW w:w="117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p>
        </w:tc>
        <w:tc>
          <w:tcPr>
            <w:tcW w:w="1171"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 w:val="24"/>
              </w:rPr>
            </w:pP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符号</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值</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color w:val="000000"/>
                <w:kern w:val="0"/>
                <w:szCs w:val="21"/>
              </w:rPr>
            </w:pPr>
            <w:r>
              <w:rPr>
                <w:rFonts w:hint="eastAsia" w:eastAsia="仿宋_GB2312"/>
                <w:b/>
                <w:color w:val="000000"/>
                <w:kern w:val="0"/>
                <w:szCs w:val="21"/>
              </w:rPr>
              <w:t>单位</w:t>
            </w:r>
          </w:p>
        </w:tc>
        <w:tc>
          <w:tcPr>
            <w:tcW w:w="183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eastAsia="仿宋_GB2312"/>
                <w:b/>
                <w:bCs/>
                <w:color w:val="000000"/>
                <w:kern w:val="0"/>
                <w:sz w:val="24"/>
              </w:rPr>
            </w:pPr>
          </w:p>
        </w:tc>
      </w:tr>
      <w:tr>
        <w:tblPrEx>
          <w:tblCellMar>
            <w:top w:w="0" w:type="dxa"/>
            <w:left w:w="11" w:type="dxa"/>
            <w:bottom w:w="0" w:type="dxa"/>
            <w:right w:w="11" w:type="dxa"/>
          </w:tblCellMar>
        </w:tblPrEx>
        <w:trPr>
          <w:trHeight w:val="370" w:hRule="atLeast"/>
        </w:trPr>
        <w:tc>
          <w:tcPr>
            <w:tcW w:w="8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eastAsia="仿宋_GB2312"/>
                <w:b/>
                <w:bCs/>
                <w:kern w:val="0"/>
                <w:sz w:val="24"/>
                <w:lang w:eastAsia="zh-CN"/>
              </w:rPr>
            </w:pPr>
            <w:r>
              <w:rPr>
                <w:rFonts w:hint="eastAsia" w:eastAsia="仿宋_GB2312"/>
                <w:b/>
                <w:bCs/>
                <w:kern w:val="0"/>
                <w:sz w:val="24"/>
                <w:lang w:eastAsia="zh-CN"/>
              </w:rPr>
              <w:t>单位</w:t>
            </w:r>
          </w:p>
          <w:p>
            <w:pPr>
              <w:widowControl/>
              <w:adjustRightInd w:val="0"/>
              <w:snapToGrid w:val="0"/>
              <w:jc w:val="center"/>
              <w:rPr>
                <w:rFonts w:eastAsia="仿宋_GB2312"/>
                <w:b/>
                <w:bCs/>
                <w:kern w:val="0"/>
                <w:sz w:val="24"/>
              </w:rPr>
            </w:pPr>
            <w:r>
              <w:rPr>
                <w:rFonts w:hint="eastAsia" w:eastAsia="仿宋_GB2312"/>
                <w:b/>
                <w:bCs/>
                <w:kern w:val="0"/>
                <w:sz w:val="24"/>
              </w:rPr>
              <w:t>产出</w:t>
            </w:r>
          </w:p>
          <w:p>
            <w:pPr>
              <w:widowControl/>
              <w:adjustRightInd w:val="0"/>
              <w:snapToGrid w:val="0"/>
              <w:jc w:val="center"/>
              <w:rPr>
                <w:rFonts w:eastAsia="仿宋_GB2312"/>
                <w:b/>
                <w:kern w:val="0"/>
                <w:sz w:val="24"/>
              </w:rPr>
            </w:pPr>
          </w:p>
        </w:tc>
        <w:tc>
          <w:tcPr>
            <w:tcW w:w="7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数量</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kern w:val="0"/>
                <w:sz w:val="13"/>
                <w:szCs w:val="13"/>
              </w:rPr>
            </w:pPr>
            <w:r>
              <w:rPr>
                <w:rFonts w:hint="eastAsia" w:ascii="仿宋" w:hAnsi="仿宋" w:eastAsia="仿宋" w:cs="仿宋"/>
                <w:color w:val="000000"/>
                <w:sz w:val="13"/>
                <w:szCs w:val="13"/>
              </w:rPr>
              <w:t>送公益文化惠民活动场次</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bCs/>
                <w:kern w:val="0"/>
                <w:sz w:val="13"/>
                <w:szCs w:val="13"/>
              </w:rPr>
            </w:pPr>
            <w:r>
              <w:rPr>
                <w:rFonts w:hint="eastAsia" w:ascii="仿宋" w:hAnsi="仿宋" w:eastAsia="仿宋" w:cs="仿宋"/>
                <w:bCs/>
                <w:kern w:val="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bCs/>
                <w:kern w:val="0"/>
                <w:sz w:val="13"/>
                <w:szCs w:val="13"/>
              </w:rPr>
            </w:pPr>
            <w:r>
              <w:rPr>
                <w:rFonts w:hint="eastAsia" w:ascii="仿宋" w:hAnsi="仿宋" w:eastAsia="仿宋" w:cs="仿宋"/>
                <w:color w:val="000000"/>
                <w:sz w:val="13"/>
                <w:szCs w:val="13"/>
              </w:rPr>
              <w:t>反映送公益文化惠民活动场次数量</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350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场</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中共廊坊市委廊发【2014】7号《关于创建国家公共文化服务体系示范区的实施意见》。中共河北省委办公厅 湖北省人民政府办公厅 冀办密传【2020】67号《关于支持国有文艺院团深化改革发展的若干措施》的通知</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kern w:val="0"/>
                <w:sz w:val="13"/>
                <w:szCs w:val="13"/>
              </w:rPr>
            </w:pPr>
            <w:r>
              <w:rPr>
                <w:rFonts w:hint="eastAsia" w:ascii="仿宋" w:hAnsi="仿宋" w:eastAsia="仿宋" w:cs="仿宋"/>
                <w:color w:val="000000"/>
                <w:kern w:val="0"/>
                <w:sz w:val="13"/>
                <w:szCs w:val="13"/>
                <w:lang w:bidi="ar"/>
              </w:rPr>
              <w:t>组织传统文化进校园文化活动场次</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bCs/>
                <w:kern w:val="0"/>
                <w:sz w:val="13"/>
                <w:szCs w:val="13"/>
              </w:rPr>
            </w:pPr>
            <w:r>
              <w:rPr>
                <w:rFonts w:hint="eastAsia" w:ascii="仿宋" w:hAnsi="仿宋" w:eastAsia="仿宋" w:cs="仿宋"/>
                <w:bCs/>
                <w:kern w:val="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bCs/>
                <w:kern w:val="0"/>
                <w:sz w:val="13"/>
                <w:szCs w:val="13"/>
              </w:rPr>
            </w:pPr>
            <w:r>
              <w:rPr>
                <w:rFonts w:hint="eastAsia" w:ascii="仿宋" w:hAnsi="仿宋" w:eastAsia="仿宋" w:cs="仿宋"/>
                <w:color w:val="000000"/>
                <w:kern w:val="0"/>
                <w:sz w:val="13"/>
                <w:szCs w:val="13"/>
                <w:lang w:bidi="ar"/>
              </w:rPr>
              <w:t>反映组织传统文化进校园文化活动场次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color w:val="000000"/>
                <w:kern w:val="0"/>
                <w:sz w:val="18"/>
                <w:szCs w:val="18"/>
              </w:rPr>
            </w:pPr>
            <w:r>
              <w:rPr>
                <w:rFonts w:hint="eastAsia" w:ascii="仿宋" w:hAnsi="仿宋" w:eastAsia="仿宋" w:cs="仿宋"/>
                <w:bCs/>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color w:val="000000"/>
                <w:kern w:val="0"/>
                <w:sz w:val="18"/>
                <w:szCs w:val="18"/>
              </w:rPr>
            </w:pPr>
            <w:r>
              <w:rPr>
                <w:rFonts w:hint="eastAsia" w:ascii="仿宋" w:hAnsi="仿宋" w:eastAsia="仿宋" w:cs="仿宋"/>
                <w:color w:val="000000"/>
                <w:kern w:val="0"/>
                <w:sz w:val="18"/>
                <w:szCs w:val="18"/>
              </w:rPr>
              <w:t>场</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中共廊坊市委宣传部廊宣字【2020】8号关于做好2020年“传统文化进校园”有关工作的通知</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3"/>
                <w:szCs w:val="13"/>
                <w:lang w:bidi="ar"/>
              </w:rPr>
            </w:pPr>
            <w:r>
              <w:rPr>
                <w:rFonts w:hint="eastAsia" w:ascii="仿宋" w:hAnsi="仿宋" w:eastAsia="仿宋" w:cs="仿宋"/>
                <w:color w:val="000000"/>
                <w:sz w:val="13"/>
                <w:szCs w:val="13"/>
                <w:lang w:eastAsia="zh-CN"/>
              </w:rPr>
              <w:t>三河市文化中心</w:t>
            </w:r>
            <w:r>
              <w:rPr>
                <w:rFonts w:hint="eastAsia" w:ascii="仿宋" w:hAnsi="仿宋" w:eastAsia="仿宋" w:cs="仿宋"/>
                <w:color w:val="000000"/>
                <w:sz w:val="13"/>
                <w:szCs w:val="13"/>
              </w:rPr>
              <w:t>基础设施物业管理面积</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bCs/>
                <w:kern w:val="0"/>
                <w:sz w:val="13"/>
                <w:szCs w:val="13"/>
              </w:rPr>
            </w:pPr>
            <w:r>
              <w:rPr>
                <w:rFonts w:hint="eastAsia" w:ascii="仿宋" w:hAnsi="仿宋" w:eastAsia="仿宋" w:cs="仿宋"/>
                <w:bCs/>
                <w:kern w:val="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bCs/>
                <w:kern w:val="0"/>
                <w:sz w:val="13"/>
                <w:szCs w:val="13"/>
              </w:rPr>
            </w:pPr>
            <w:r>
              <w:rPr>
                <w:rFonts w:hint="eastAsia" w:ascii="仿宋" w:hAnsi="仿宋" w:eastAsia="仿宋" w:cs="仿宋"/>
                <w:color w:val="000000"/>
                <w:sz w:val="13"/>
                <w:szCs w:val="13"/>
              </w:rPr>
              <w:t>基础设施物业管理涉及的面积</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Cs/>
                <w:color w:val="000000"/>
                <w:kern w:val="0"/>
                <w:sz w:val="18"/>
                <w:szCs w:val="18"/>
              </w:rPr>
            </w:pPr>
            <w:r>
              <w:rPr>
                <w:rFonts w:hint="eastAsia" w:ascii="仿宋" w:hAnsi="仿宋" w:eastAsia="仿宋" w:cs="仿宋"/>
                <w:bCs/>
                <w:color w:val="000000"/>
                <w:kern w:val="0"/>
                <w:sz w:val="18"/>
                <w:szCs w:val="18"/>
              </w:rPr>
              <w:t>128</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亩</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招标合同</w:t>
            </w:r>
          </w:p>
        </w:tc>
      </w:tr>
      <w:tr>
        <w:tblPrEx>
          <w:tblCellMar>
            <w:top w:w="0" w:type="dxa"/>
            <w:left w:w="11" w:type="dxa"/>
            <w:bottom w:w="0" w:type="dxa"/>
            <w:right w:w="11" w:type="dxa"/>
          </w:tblCellMar>
        </w:tblPrEx>
        <w:trPr>
          <w:trHeight w:val="542"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3"/>
                <w:szCs w:val="13"/>
                <w:lang w:bidi="ar"/>
              </w:rPr>
            </w:pPr>
            <w:r>
              <w:rPr>
                <w:rFonts w:hint="eastAsia" w:ascii="仿宋" w:hAnsi="仿宋" w:eastAsia="仿宋" w:cs="仿宋"/>
                <w:color w:val="000000"/>
                <w:sz w:val="13"/>
                <w:szCs w:val="13"/>
                <w:lang w:eastAsia="zh-CN"/>
              </w:rPr>
              <w:t>博物馆</w:t>
            </w:r>
            <w:r>
              <w:rPr>
                <w:rFonts w:hint="eastAsia" w:ascii="仿宋" w:hAnsi="仿宋" w:eastAsia="仿宋" w:cs="仿宋"/>
                <w:color w:val="000000"/>
                <w:sz w:val="13"/>
                <w:szCs w:val="13"/>
              </w:rPr>
              <w:t>举办展览或馆际交流</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bCs/>
                <w:kern w:val="0"/>
                <w:sz w:val="13"/>
                <w:szCs w:val="13"/>
                <w:lang w:val="en-US" w:eastAsia="zh-CN"/>
              </w:rPr>
            </w:pPr>
            <w:r>
              <w:rPr>
                <w:rFonts w:hint="eastAsia" w:ascii="仿宋" w:hAnsi="仿宋" w:eastAsia="仿宋" w:cs="仿宋"/>
                <w:bCs/>
                <w:kern w:val="0"/>
                <w:sz w:val="13"/>
                <w:szCs w:val="13"/>
                <w:lang w:val="en-US" w:eastAsia="zh-CN"/>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bCs/>
                <w:kern w:val="0"/>
                <w:sz w:val="13"/>
                <w:szCs w:val="13"/>
              </w:rPr>
            </w:pPr>
            <w:r>
              <w:rPr>
                <w:rFonts w:hint="eastAsia" w:ascii="仿宋" w:hAnsi="仿宋" w:eastAsia="仿宋" w:cs="仿宋"/>
                <w:color w:val="000000"/>
                <w:sz w:val="13"/>
                <w:szCs w:val="13"/>
              </w:rPr>
              <w:t>反映举办展览或馆际交流的数量</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Cs/>
                <w:color w:val="000000"/>
                <w:kern w:val="0"/>
                <w:sz w:val="18"/>
                <w:szCs w:val="18"/>
                <w:lang w:eastAsia="zh-CN"/>
              </w:rPr>
            </w:pPr>
            <w:r>
              <w:rPr>
                <w:rFonts w:hint="eastAsia" w:ascii="仿宋" w:hAnsi="仿宋" w:eastAsia="仿宋" w:cs="仿宋"/>
                <w:bCs/>
                <w:color w:val="000000"/>
                <w:kern w:val="0"/>
                <w:sz w:val="18"/>
                <w:szCs w:val="18"/>
                <w:lang w:val="en-US" w:eastAsia="zh-CN"/>
              </w:rPr>
              <w:t>5</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场</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活动照片、简报</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3"/>
                <w:szCs w:val="13"/>
                <w:lang w:bidi="ar"/>
              </w:rPr>
            </w:pPr>
            <w:r>
              <w:rPr>
                <w:rFonts w:hint="eastAsia" w:ascii="仿宋" w:hAnsi="仿宋" w:eastAsia="仿宋" w:cs="仿宋"/>
                <w:color w:val="000000"/>
                <w:sz w:val="13"/>
                <w:szCs w:val="13"/>
              </w:rPr>
              <w:t>组织农村公益电影放映活动场次</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bCs/>
                <w:kern w:val="0"/>
                <w:sz w:val="13"/>
                <w:szCs w:val="13"/>
              </w:rPr>
            </w:pPr>
            <w:r>
              <w:rPr>
                <w:rFonts w:hint="eastAsia" w:ascii="仿宋" w:hAnsi="仿宋" w:eastAsia="仿宋" w:cs="仿宋"/>
                <w:bCs/>
                <w:kern w:val="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bCs/>
                <w:kern w:val="0"/>
                <w:sz w:val="13"/>
                <w:szCs w:val="13"/>
              </w:rPr>
            </w:pPr>
            <w:r>
              <w:rPr>
                <w:rFonts w:hint="eastAsia" w:ascii="仿宋" w:hAnsi="仿宋" w:eastAsia="仿宋" w:cs="仿宋"/>
                <w:color w:val="000000"/>
                <w:sz w:val="13"/>
                <w:szCs w:val="13"/>
              </w:rPr>
              <w:t>反映组织农村公益电影放映活动场次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Cs/>
                <w:color w:val="000000"/>
                <w:kern w:val="0"/>
                <w:sz w:val="18"/>
                <w:szCs w:val="18"/>
              </w:rPr>
            </w:pPr>
            <w:r>
              <w:rPr>
                <w:rFonts w:hint="eastAsia" w:ascii="仿宋" w:hAnsi="仿宋" w:eastAsia="仿宋" w:cs="仿宋"/>
                <w:bCs/>
                <w:color w:val="000000"/>
                <w:kern w:val="0"/>
                <w:sz w:val="18"/>
                <w:szCs w:val="18"/>
              </w:rPr>
              <w:t>4740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场</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廊文字（2012）13号、冀财教[2014]254号</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开展旅游宣传</w:t>
            </w:r>
            <w:r>
              <w:rPr>
                <w:rFonts w:hint="eastAsia" w:ascii="仿宋" w:hAnsi="仿宋" w:eastAsia="仿宋" w:cs="仿宋"/>
                <w:color w:val="000000"/>
                <w:sz w:val="13"/>
                <w:szCs w:val="13"/>
              </w:rPr>
              <w:t>设计印制宣传资料数量</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bCs/>
                <w:kern w:val="0"/>
                <w:sz w:val="13"/>
                <w:szCs w:val="13"/>
              </w:rPr>
            </w:pPr>
            <w:r>
              <w:rPr>
                <w:rFonts w:hint="eastAsia" w:ascii="仿宋" w:hAnsi="仿宋" w:eastAsia="仿宋" w:cs="仿宋"/>
                <w:bCs/>
                <w:kern w:val="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开展旅游宣传</w:t>
            </w:r>
            <w:r>
              <w:rPr>
                <w:rFonts w:hint="eastAsia" w:ascii="仿宋" w:hAnsi="仿宋" w:eastAsia="仿宋" w:cs="仿宋"/>
                <w:color w:val="000000"/>
                <w:sz w:val="13"/>
                <w:szCs w:val="13"/>
              </w:rPr>
              <w:t>设计印制各类文旅宣传资料</w:t>
            </w:r>
            <w:r>
              <w:rPr>
                <w:rFonts w:hint="eastAsia" w:ascii="仿宋" w:hAnsi="仿宋" w:eastAsia="仿宋" w:cs="仿宋"/>
                <w:color w:val="000000"/>
                <w:sz w:val="13"/>
                <w:szCs w:val="13"/>
                <w:lang w:eastAsia="zh-CN"/>
              </w:rPr>
              <w:t>数量</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10000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册</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工作计划</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文化馆举办免费开放文化活动次数</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bCs/>
                <w:kern w:val="0"/>
                <w:sz w:val="13"/>
                <w:szCs w:val="13"/>
                <w:lang w:val="en-US" w:eastAsia="zh-CN"/>
              </w:rPr>
            </w:pPr>
            <w:r>
              <w:rPr>
                <w:rFonts w:hint="eastAsia" w:ascii="仿宋" w:hAnsi="仿宋" w:eastAsia="仿宋" w:cs="仿宋"/>
                <w:bCs/>
                <w:kern w:val="0"/>
                <w:sz w:val="13"/>
                <w:szCs w:val="13"/>
                <w:lang w:val="en-US" w:eastAsia="zh-CN"/>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举办免费开放文化活动次数</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10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次</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活动资料（方案、照片、简讯）</w:t>
            </w:r>
          </w:p>
        </w:tc>
      </w:tr>
      <w:tr>
        <w:tblPrEx>
          <w:tblCellMar>
            <w:top w:w="0" w:type="dxa"/>
            <w:left w:w="11" w:type="dxa"/>
            <w:bottom w:w="0" w:type="dxa"/>
            <w:right w:w="11" w:type="dxa"/>
          </w:tblCellMar>
        </w:tblPrEx>
        <w:trPr>
          <w:trHeight w:val="470" w:hRule="atLeast"/>
        </w:trPr>
        <w:tc>
          <w:tcPr>
            <w:tcW w:w="880" w:type="dxa"/>
            <w:vMerge w:val="continue"/>
            <w:tcBorders>
              <w:left w:val="single" w:color="auto" w:sz="4" w:space="0"/>
              <w:right w:val="single" w:color="auto" w:sz="4" w:space="0"/>
            </w:tcBorders>
            <w:noWrap w:val="0"/>
            <w:vAlign w:val="center"/>
          </w:tcPr>
          <w:p/>
        </w:tc>
        <w:tc>
          <w:tcPr>
            <w:tcW w:w="7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质量</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送公益流动文化服务进基层完成率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年度内送公益文艺演出实际场次数占计划场次的比率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回执单及照片</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传统文化进校园完成率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年度内实际演出场次占计划演出场次比率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回执单及照片</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文化中心物业实际完成配套设施量</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文化中心物业实际完成配套设施量占计划完成配套设施量</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90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招标合同、供暖合同及实际发生费用发票</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博物馆举办展览</w:t>
            </w:r>
            <w:r>
              <w:rPr>
                <w:rFonts w:hint="eastAsia" w:ascii="仿宋" w:hAnsi="仿宋" w:eastAsia="仿宋" w:cs="仿宋"/>
                <w:color w:val="000000"/>
                <w:sz w:val="13"/>
                <w:szCs w:val="13"/>
              </w:rPr>
              <w:t>任务完成率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为参观群众提供服务，反映任务完成情况</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活动照片、简报</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农村公益电影放映保障全年完成率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农村公益电影放映保障全年完成率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放映实施计划</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开展旅游宣传</w:t>
            </w:r>
            <w:r>
              <w:rPr>
                <w:rFonts w:hint="eastAsia" w:ascii="仿宋" w:hAnsi="仿宋" w:eastAsia="仿宋" w:cs="仿宋"/>
                <w:color w:val="000000"/>
                <w:sz w:val="13"/>
                <w:szCs w:val="13"/>
              </w:rPr>
              <w:t>设计印制宣传资料的质量</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开展旅游宣传</w:t>
            </w:r>
            <w:r>
              <w:rPr>
                <w:rFonts w:hint="eastAsia" w:ascii="仿宋" w:hAnsi="仿宋" w:eastAsia="仿宋" w:cs="仿宋"/>
                <w:color w:val="000000"/>
                <w:sz w:val="13"/>
                <w:szCs w:val="13"/>
              </w:rPr>
              <w:t>设计印制宣传资料的质量</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验收报告</w:t>
            </w:r>
          </w:p>
        </w:tc>
      </w:tr>
      <w:tr>
        <w:tblPrEx>
          <w:tblCellMar>
            <w:top w:w="0" w:type="dxa"/>
            <w:left w:w="11" w:type="dxa"/>
            <w:bottom w:w="0" w:type="dxa"/>
            <w:right w:w="11" w:type="dxa"/>
          </w:tblCellMar>
        </w:tblPrEx>
        <w:trPr>
          <w:trHeight w:val="39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保障全年文化活动正常运转率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保障全年文化活动正常运转</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活动资料（方案、照片、简讯）</w:t>
            </w:r>
          </w:p>
        </w:tc>
      </w:tr>
      <w:tr>
        <w:tblPrEx>
          <w:tblCellMar>
            <w:top w:w="0" w:type="dxa"/>
            <w:left w:w="11" w:type="dxa"/>
            <w:bottom w:w="0" w:type="dxa"/>
            <w:right w:w="11" w:type="dxa"/>
          </w:tblCellMar>
        </w:tblPrEx>
        <w:trPr>
          <w:trHeight w:val="485" w:hRule="atLeast"/>
        </w:trPr>
        <w:tc>
          <w:tcPr>
            <w:tcW w:w="880" w:type="dxa"/>
            <w:vMerge w:val="continue"/>
            <w:tcBorders>
              <w:left w:val="single" w:color="auto" w:sz="4" w:space="0"/>
              <w:right w:val="single" w:color="auto" w:sz="4" w:space="0"/>
            </w:tcBorders>
            <w:noWrap w:val="0"/>
            <w:vAlign w:val="center"/>
          </w:tcPr>
          <w:p/>
        </w:tc>
        <w:tc>
          <w:tcPr>
            <w:tcW w:w="7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时效</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文化惠民活动完成时间</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文化惠民活动完成时间</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年</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工作计划</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rPr>
              <w:t>传统文化进校园完成</w:t>
            </w:r>
            <w:r>
              <w:rPr>
                <w:rFonts w:hint="eastAsia" w:ascii="仿宋" w:hAnsi="仿宋" w:eastAsia="仿宋" w:cs="仿宋"/>
                <w:color w:val="000000"/>
                <w:sz w:val="13"/>
                <w:szCs w:val="13"/>
                <w:lang w:eastAsia="zh-CN"/>
              </w:rPr>
              <w:t>及时率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rPr>
              <w:t>传统文化进校园完成</w:t>
            </w:r>
            <w:r>
              <w:rPr>
                <w:rFonts w:hint="eastAsia" w:ascii="仿宋" w:hAnsi="仿宋" w:eastAsia="仿宋" w:cs="仿宋"/>
                <w:color w:val="000000"/>
                <w:sz w:val="13"/>
                <w:szCs w:val="13"/>
                <w:lang w:eastAsia="zh-CN"/>
              </w:rPr>
              <w:t>及时率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工作计划</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3"/>
                <w:szCs w:val="13"/>
              </w:rPr>
            </w:pPr>
            <w:r>
              <w:rPr>
                <w:rFonts w:hint="eastAsia" w:ascii="仿宋" w:hAnsi="仿宋" w:eastAsia="仿宋" w:cs="仿宋"/>
                <w:sz w:val="13"/>
                <w:szCs w:val="13"/>
              </w:rPr>
              <w:t>文化中心物业管理工程完工时效</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sz w:val="13"/>
                <w:szCs w:val="13"/>
              </w:rPr>
            </w:pPr>
            <w:r>
              <w:rPr>
                <w:rFonts w:hint="eastAsia" w:ascii="仿宋" w:hAnsi="仿宋" w:eastAsia="仿宋" w:cs="仿宋"/>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3"/>
                <w:szCs w:val="13"/>
              </w:rPr>
            </w:pPr>
            <w:r>
              <w:rPr>
                <w:rFonts w:hint="eastAsia" w:ascii="仿宋" w:hAnsi="仿宋" w:eastAsia="仿宋" w:cs="仿宋"/>
                <w:sz w:val="13"/>
                <w:szCs w:val="13"/>
              </w:rPr>
              <w:t>文化中心物业管理工程完工时效</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年</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招标合同和供暖合同</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博物馆举办展览</w:t>
            </w:r>
            <w:r>
              <w:rPr>
                <w:rFonts w:hint="eastAsia" w:ascii="仿宋" w:hAnsi="仿宋" w:eastAsia="仿宋" w:cs="仿宋"/>
                <w:color w:val="000000"/>
                <w:sz w:val="13"/>
                <w:szCs w:val="13"/>
              </w:rPr>
              <w:t>按时完成</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反映博物馆举办展览按时完成时效</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文字描述</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按计划完成</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工作计划</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农村公益电影反映完成所需时间</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农村公益电影反映完成所需时间</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年</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放映回执单</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旅游选窜工作</w:t>
            </w:r>
            <w:r>
              <w:rPr>
                <w:rFonts w:hint="eastAsia" w:ascii="仿宋" w:hAnsi="仿宋" w:eastAsia="仿宋" w:cs="仿宋"/>
                <w:color w:val="000000"/>
                <w:sz w:val="13"/>
                <w:szCs w:val="13"/>
              </w:rPr>
              <w:t>完成时间</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完成全年工作任务所需时间</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月</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工作计划</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文化活动按时完成率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512"/>
              </w:tabs>
              <w:adjustRightInd w:val="0"/>
              <w:snapToGrid w:val="0"/>
              <w:jc w:val="left"/>
              <w:rPr>
                <w:rFonts w:hint="eastAsia" w:ascii="仿宋" w:hAnsi="仿宋" w:eastAsia="仿宋" w:cs="仿宋"/>
                <w:color w:val="000000"/>
                <w:sz w:val="13"/>
                <w:szCs w:val="13"/>
                <w:lang w:eastAsia="zh-CN"/>
              </w:rPr>
            </w:pPr>
            <w:r>
              <w:rPr>
                <w:rFonts w:hint="eastAsia" w:ascii="仿宋" w:hAnsi="仿宋" w:eastAsia="仿宋" w:cs="仿宋"/>
                <w:color w:val="000000"/>
                <w:sz w:val="13"/>
                <w:szCs w:val="13"/>
                <w:lang w:eastAsia="zh-CN"/>
              </w:rPr>
              <w:tab/>
            </w:r>
            <w:r>
              <w:rPr>
                <w:rFonts w:hint="eastAsia" w:ascii="仿宋" w:hAnsi="仿宋" w:eastAsia="仿宋" w:cs="仿宋"/>
                <w:color w:val="000000"/>
                <w:sz w:val="13"/>
                <w:szCs w:val="13"/>
                <w:lang w:eastAsia="zh-CN"/>
              </w:rPr>
              <w:t>反映文化活动是否按时完成</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工作计划</w:t>
            </w:r>
          </w:p>
        </w:tc>
      </w:tr>
      <w:tr>
        <w:tblPrEx>
          <w:tblCellMar>
            <w:top w:w="0" w:type="dxa"/>
            <w:left w:w="11" w:type="dxa"/>
            <w:bottom w:w="0" w:type="dxa"/>
            <w:right w:w="11" w:type="dxa"/>
          </w:tblCellMar>
        </w:tblPrEx>
        <w:trPr>
          <w:trHeight w:val="470" w:hRule="atLeast"/>
        </w:trPr>
        <w:tc>
          <w:tcPr>
            <w:tcW w:w="880" w:type="dxa"/>
            <w:vMerge w:val="continue"/>
            <w:tcBorders>
              <w:left w:val="single" w:color="auto" w:sz="4" w:space="0"/>
              <w:right w:val="single" w:color="auto" w:sz="4" w:space="0"/>
            </w:tcBorders>
            <w:noWrap w:val="0"/>
            <w:vAlign w:val="center"/>
          </w:tcPr>
          <w:p/>
        </w:tc>
        <w:tc>
          <w:tcPr>
            <w:tcW w:w="780"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成本</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3"/>
                <w:szCs w:val="13"/>
              </w:rPr>
            </w:pPr>
            <w:r>
              <w:rPr>
                <w:rFonts w:hint="eastAsia" w:ascii="仿宋" w:hAnsi="仿宋" w:eastAsia="仿宋" w:cs="仿宋"/>
                <w:sz w:val="13"/>
                <w:szCs w:val="13"/>
              </w:rPr>
              <w:t>部门整体预算成本控制情况</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sz w:val="13"/>
                <w:szCs w:val="13"/>
              </w:rPr>
            </w:pPr>
            <w:r>
              <w:rPr>
                <w:rFonts w:hint="eastAsia" w:ascii="仿宋" w:hAnsi="仿宋" w:eastAsia="仿宋" w:cs="仿宋"/>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3"/>
                <w:szCs w:val="13"/>
              </w:rPr>
            </w:pPr>
            <w:r>
              <w:rPr>
                <w:rFonts w:hint="eastAsia" w:ascii="仿宋" w:hAnsi="仿宋" w:eastAsia="仿宋" w:cs="仿宋"/>
                <w:sz w:val="13"/>
                <w:szCs w:val="13"/>
              </w:rPr>
              <w:t>反映部门整体预算控制情况</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5698</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 w:val="18"/>
                <w:szCs w:val="18"/>
              </w:rPr>
            </w:pPr>
            <w:r>
              <w:rPr>
                <w:rFonts w:hint="eastAsia" w:ascii="仿宋" w:hAnsi="仿宋" w:eastAsia="仿宋" w:cs="仿宋"/>
                <w:sz w:val="18"/>
                <w:szCs w:val="18"/>
              </w:rPr>
              <w:t>万元</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szCs w:val="21"/>
              </w:rPr>
            </w:pPr>
            <w:r>
              <w:rPr>
                <w:rFonts w:hint="eastAsia" w:ascii="仿宋" w:hAnsi="仿宋" w:eastAsia="仿宋" w:cs="仿宋"/>
                <w:szCs w:val="21"/>
              </w:rPr>
              <w:t>年度预算</w:t>
            </w:r>
          </w:p>
        </w:tc>
      </w:tr>
      <w:tr>
        <w:tblPrEx>
          <w:tblCellMar>
            <w:top w:w="0" w:type="dxa"/>
            <w:left w:w="11" w:type="dxa"/>
            <w:bottom w:w="0" w:type="dxa"/>
            <w:right w:w="11" w:type="dxa"/>
          </w:tblCellMar>
        </w:tblPrEx>
        <w:trPr>
          <w:trHeight w:val="470" w:hRule="atLeast"/>
        </w:trPr>
        <w:tc>
          <w:tcPr>
            <w:tcW w:w="880" w:type="dxa"/>
            <w:vMerge w:val="continue"/>
            <w:tcBorders>
              <w:left w:val="single" w:color="auto" w:sz="4" w:space="0"/>
              <w:right w:val="single" w:color="auto" w:sz="4" w:space="0"/>
            </w:tcBorders>
            <w:noWrap w:val="0"/>
            <w:vAlign w:val="center"/>
          </w:tcPr>
          <w:p/>
        </w:tc>
        <w:tc>
          <w:tcPr>
            <w:tcW w:w="780"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社会</w:t>
            </w:r>
          </w:p>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效益</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提高观众的文化素养，保障群众文化权益，做好文化宣传展示覆盖率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提高观众的文化素养，保障群众文化权益，做好文化宣传展示覆盖率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8"/>
                <w:szCs w:val="18"/>
              </w:rPr>
            </w:pPr>
            <w:r>
              <w:rPr>
                <w:rFonts w:hint="eastAsia" w:ascii="仿宋" w:hAnsi="仿宋" w:eastAsia="仿宋" w:cs="仿宋"/>
                <w:color w:val="000000"/>
                <w:sz w:val="18"/>
                <w:szCs w:val="18"/>
              </w:rPr>
              <w:t>85</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观众调查表</w:t>
            </w:r>
          </w:p>
        </w:tc>
      </w:tr>
      <w:tr>
        <w:tblPrEx>
          <w:tblCellMar>
            <w:top w:w="0" w:type="dxa"/>
            <w:left w:w="11" w:type="dxa"/>
            <w:bottom w:w="0" w:type="dxa"/>
            <w:right w:w="11" w:type="dxa"/>
          </w:tblCellMar>
        </w:tblPrEx>
        <w:trPr>
          <w:trHeight w:val="470"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提高学生的传统文化素养，做好戏曲文化宣传展示覆盖率</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提高学生的传统文化素养，做好戏曲文化宣传展示覆盖率</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85</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观众调查表</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三河市文化中心</w:t>
            </w:r>
            <w:r>
              <w:rPr>
                <w:rFonts w:hint="eastAsia" w:ascii="仿宋" w:hAnsi="仿宋" w:eastAsia="仿宋" w:cs="仿宋"/>
                <w:color w:val="000000"/>
                <w:sz w:val="13"/>
                <w:szCs w:val="13"/>
              </w:rPr>
              <w:t>基础设施物业管理面积</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通过文化中心每年的维护改造，消除安全隐患的项目数量情况</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90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招标合同</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提高</w:t>
            </w:r>
            <w:r>
              <w:rPr>
                <w:rFonts w:hint="eastAsia" w:ascii="仿宋" w:hAnsi="仿宋" w:eastAsia="仿宋" w:cs="仿宋"/>
                <w:color w:val="000000"/>
                <w:sz w:val="13"/>
                <w:szCs w:val="13"/>
                <w:lang w:eastAsia="zh-CN"/>
              </w:rPr>
              <w:t>博物馆</w:t>
            </w:r>
            <w:r>
              <w:rPr>
                <w:rFonts w:hint="eastAsia" w:ascii="仿宋" w:hAnsi="仿宋" w:eastAsia="仿宋" w:cs="仿宋"/>
                <w:color w:val="000000"/>
                <w:sz w:val="13"/>
                <w:szCs w:val="13"/>
              </w:rPr>
              <w:t>群众知晓度，促进博物馆长期发展</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加深群众对博物馆的了解与认知，让文物活起来</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文字描述</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逐步提高</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按上级文件要求开展</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促进全市395个村庄提升爱国主义情怀，普及推广爱国主义教育和科普常识教育稳步发展</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促进全市395个村庄提升爱国主义情怀，普及推广爱国主义教育和科普常识教育稳步发展</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文字描述</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稳步发展，效果显著</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仿宋" w:hAnsi="仿宋" w:eastAsia="仿宋" w:cs="仿宋"/>
                <w:color w:val="000000"/>
                <w:szCs w:val="21"/>
              </w:rPr>
              <w:t>放映回执单</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三河文旅事业发展情况</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20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促进三河文旅事业发展情况</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文字描述</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有效促进</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Cs w:val="21"/>
              </w:rPr>
            </w:pPr>
            <w:r>
              <w:rPr>
                <w:rFonts w:hint="eastAsia" w:ascii="宋体" w:hAnsi="宋体" w:cs="宋体"/>
                <w:color w:val="000000"/>
                <w:szCs w:val="21"/>
              </w:rPr>
              <w:t>工作总结</w:t>
            </w:r>
          </w:p>
        </w:tc>
      </w:tr>
      <w:tr>
        <w:tblPrEx>
          <w:tblCellMar>
            <w:top w:w="0" w:type="dxa"/>
            <w:left w:w="11" w:type="dxa"/>
            <w:bottom w:w="0" w:type="dxa"/>
            <w:right w:w="11" w:type="dxa"/>
          </w:tblCellMar>
        </w:tblPrEx>
        <w:trPr>
          <w:trHeight w:val="425" w:hRule="atLeast"/>
        </w:trPr>
        <w:tc>
          <w:tcPr>
            <w:tcW w:w="880" w:type="dxa"/>
            <w:vMerge w:val="continue"/>
            <w:tcBorders>
              <w:left w:val="single" w:color="auto" w:sz="4" w:space="0"/>
              <w:right w:val="single" w:color="auto" w:sz="4" w:space="0"/>
            </w:tcBorders>
            <w:noWrap w:val="0"/>
            <w:vAlign w:val="center"/>
          </w:tcPr>
          <w:p/>
        </w:tc>
        <w:tc>
          <w:tcPr>
            <w:tcW w:w="780" w:type="dxa"/>
            <w:vMerge w:val="continue"/>
            <w:tcBorders>
              <w:left w:val="single" w:color="auto" w:sz="4" w:space="0"/>
              <w:right w:val="single" w:color="auto" w:sz="4" w:space="0"/>
            </w:tcBorders>
            <w:noWrap w:val="0"/>
            <w:vAlign w:val="center"/>
          </w:tcPr>
          <w:p>
            <w:pPr>
              <w:rPr>
                <w:rFonts w:hint="eastAsia" w:ascii="仿宋" w:hAnsi="仿宋" w:eastAsia="仿宋" w:cs="仿宋"/>
                <w:b/>
                <w:bCs/>
                <w:szCs w:val="21"/>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lang w:eastAsia="zh-CN"/>
              </w:rPr>
              <w:t>开展文化活动</w:t>
            </w:r>
            <w:r>
              <w:rPr>
                <w:rFonts w:hint="eastAsia" w:ascii="仿宋" w:hAnsi="仿宋" w:eastAsia="仿宋" w:cs="仿宋"/>
                <w:color w:val="000000"/>
                <w:sz w:val="13"/>
                <w:szCs w:val="13"/>
              </w:rPr>
              <w:t>观展人次</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3"/>
                <w:szCs w:val="13"/>
                <w:lang w:val="en-US" w:eastAsia="zh-CN"/>
              </w:rPr>
            </w:pPr>
            <w:r>
              <w:rPr>
                <w:rFonts w:hint="eastAsia" w:ascii="仿宋" w:hAnsi="仿宋" w:eastAsia="仿宋" w:cs="仿宋"/>
                <w:color w:val="000000"/>
                <w:sz w:val="13"/>
                <w:szCs w:val="13"/>
                <w:lang w:val="en-US" w:eastAsia="zh-CN"/>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反映展览活动参展人次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人次</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cs="宋体"/>
                <w:color w:val="000000"/>
                <w:szCs w:val="21"/>
              </w:rPr>
            </w:pPr>
            <w:r>
              <w:rPr>
                <w:rFonts w:hint="eastAsia" w:ascii="宋体" w:hAnsi="宋体" w:cs="宋体"/>
                <w:color w:val="000000"/>
                <w:szCs w:val="21"/>
              </w:rPr>
              <w:t>活动照片</w:t>
            </w:r>
          </w:p>
        </w:tc>
      </w:tr>
      <w:tr>
        <w:tblPrEx>
          <w:tblCellMar>
            <w:top w:w="0" w:type="dxa"/>
            <w:left w:w="11" w:type="dxa"/>
            <w:bottom w:w="0" w:type="dxa"/>
            <w:right w:w="11" w:type="dxa"/>
          </w:tblCellMar>
        </w:tblPrEx>
        <w:trPr>
          <w:trHeight w:val="440" w:hRule="atLeast"/>
        </w:trPr>
        <w:tc>
          <w:tcPr>
            <w:tcW w:w="880" w:type="dxa"/>
            <w:vMerge w:val="continue"/>
            <w:tcBorders>
              <w:left w:val="single" w:color="auto" w:sz="4" w:space="0"/>
              <w:right w:val="single" w:color="auto" w:sz="4" w:space="0"/>
            </w:tcBorders>
            <w:noWrap w:val="0"/>
            <w:vAlign w:val="center"/>
          </w:tcP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b/>
                <w:bCs/>
                <w:kern w:val="0"/>
                <w:szCs w:val="21"/>
              </w:rPr>
            </w:pPr>
            <w:r>
              <w:rPr>
                <w:rFonts w:hint="eastAsia" w:ascii="仿宋" w:hAnsi="仿宋" w:eastAsia="仿宋" w:cs="仿宋"/>
                <w:b/>
                <w:bCs/>
                <w:kern w:val="0"/>
                <w:szCs w:val="21"/>
              </w:rPr>
              <w:t>满意度</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市民对我市整体文化发展及旅游服务的满意度</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3"/>
                <w:szCs w:val="13"/>
              </w:rPr>
            </w:pPr>
            <w:r>
              <w:rPr>
                <w:rFonts w:hint="eastAsia" w:ascii="仿宋" w:hAnsi="仿宋" w:eastAsia="仿宋" w:cs="仿宋"/>
                <w:color w:val="000000"/>
                <w:sz w:val="13"/>
                <w:szCs w:val="13"/>
              </w:rPr>
              <w:t>10</w:t>
            </w:r>
          </w:p>
        </w:tc>
        <w:tc>
          <w:tcPr>
            <w:tcW w:w="117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市民对我市整体文化发展及旅游服务的满意度</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 w:hAnsi="仿宋" w:eastAsia="仿宋" w:cs="仿宋"/>
                <w:color w:val="000000"/>
                <w:sz w:val="18"/>
                <w:szCs w:val="18"/>
              </w:rPr>
            </w:pPr>
            <w:r>
              <w:rPr>
                <w:rFonts w:hint="eastAsia" w:ascii="仿宋" w:hAnsi="仿宋" w:eastAsia="仿宋" w:cs="仿宋"/>
                <w:color w:val="000000"/>
                <w:sz w:val="18"/>
                <w:szCs w:val="18"/>
              </w:rPr>
              <w:t>90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8"/>
                <w:szCs w:val="18"/>
              </w:rPr>
            </w:pPr>
            <w:r>
              <w:rPr>
                <w:rFonts w:hint="eastAsia" w:ascii="仿宋" w:hAnsi="仿宋" w:eastAsia="仿宋" w:cs="仿宋"/>
                <w:color w:val="000000"/>
                <w:sz w:val="18"/>
                <w:szCs w:val="18"/>
              </w:rPr>
              <w:t>百分比</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 w:hAnsi="仿宋" w:eastAsia="仿宋" w:cs="仿宋"/>
                <w:color w:val="000000"/>
                <w:sz w:val="13"/>
                <w:szCs w:val="13"/>
              </w:rPr>
            </w:pPr>
            <w:r>
              <w:rPr>
                <w:rFonts w:hint="eastAsia" w:ascii="仿宋" w:hAnsi="仿宋" w:eastAsia="仿宋" w:cs="仿宋"/>
                <w:color w:val="000000"/>
                <w:sz w:val="13"/>
                <w:szCs w:val="13"/>
              </w:rPr>
              <w:t>调查问卷</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1.安全生产教育活动经费绩效目标表</w:t>
      </w:r>
    </w:p>
    <w:p>
      <w:pPr>
        <w:spacing w:line="58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通过印制宣传资料，组织宣传活动，切实提高文旅市场经营单位安全生产意识。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宣传场次</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开展“安全生产月”宣传活动</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安全生产（消防安全）宣传效果</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达到关注安全、参与安全、安全生产意识提升的目的</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计划任务按时完成率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反映计划按期完成情况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每次活动成本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平均每次需要金额</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0.3万元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安全生产（消防安全）意识提升情况</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保证社会生产经营环境平稳有序</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效果明显</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服务对象对安全生产活动的满意度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2.博物馆免费开放全额保障经费绩效目标表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使广大群众加深对博物馆的了解与认知，更加了解三河丰富的历史文化资源，使三河的历史文化得到传承。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举办展览或馆际交流</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反映举办展览或馆际交流的数量</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任务完成率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为参观群众提供服务，反映任务完成情况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按时完成</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2023年12月底前完成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按计划完成</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平均举行每场展览及馆际交流所需成本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平均举行每场展览及馆际交流所需成本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≤10000元/每次</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场馆布置材料制作合同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提高群众知晓度，促进博物馆长期发展</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加深群众对博物馆的了解与认知，让文物活起来</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逐步提高</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对参观群众进行服务满意度调查</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留言簿或调查问卷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.公共文化服务体系本级配套经费绩效目标表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通过对全市人民开展培训，达到提升市民的多种技能的目的。</w:t>
            </w:r>
            <w:r>
              <w:rPr>
                <w:rFonts w:hint="eastAsia" w:ascii="仿宋" w:hAnsi="仿宋" w:eastAsia="仿宋" w:cs="仿宋"/>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人数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服务读者采购的工作人数</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文财务发【2011】5号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读者工作培训次数、服务读者采购工作完成情况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完成时限</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读者工作培训、服务读者采购一年内完成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1年</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免费服务单位成本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读者证制作单位成本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≤8.5元/本</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提升全市阅读水平</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通过图书馆服务活动达到提升阅读水平的效果</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显著提高</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进馆登记表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对来馆读者进行服务满意度调查</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.公益文化经费绩效目标表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开展免费开放活动，提高我市文化水平，使我市文化作品不断产生和提高。</w:t>
            </w:r>
            <w:r>
              <w:rPr>
                <w:rFonts w:hint="eastAsia" w:ascii="仿宋" w:hAnsi="仿宋" w:eastAsia="仿宋" w:cs="仿宋"/>
                <w:kern w:val="2"/>
                <w:sz w:val="21"/>
                <w:szCs w:val="22"/>
                <w:lang w:val="en-US" w:eastAsia="zh-CN" w:bidi="ar-SA"/>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活动场次</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全年按计划完成活动场次</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≥40场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根据往年依据参考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图书质量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图书质量合格率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图书资金支出使用</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年度资金支出使用时限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文献成本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单本文献价格</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≤30元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提升全市阅读水平</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通过图书馆服务活动达到提升阅读水平的效果</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显著提高</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进馆登记表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参与活动群众满意度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参与活动群众对活动开展情况满意度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读者活动满意度反馈表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.会议中心管理经费绩效目标表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按照市委办公室的安排，配合会议主办方布置会场，负责相关设备的正常运行和维护，以优良的环境完成好每次会议。</w:t>
            </w:r>
            <w:r>
              <w:rPr>
                <w:rFonts w:hint="eastAsia" w:ascii="仿宋" w:hAnsi="仿宋" w:eastAsia="仿宋" w:cs="仿宋"/>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需要维护的桌子椅子个数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反映需要维护的座套的桌子椅子个数</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≤400套</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三文体（2004）第1号    （附：孙书记、吴市长签字）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会议布置合格率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反映会议布置的合格率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每次会议完成情况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会议布置的及时性</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反映会议布置的及时性</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维护每套桌子椅子所需成本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反映维护每套桌子椅子所需成本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≤100元/套</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历年工作安排及年度预算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确保市四大班子及相关部门每次会议圆满完成</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确保市四大班子及相关部门每次会议圆满完成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及时圆满完成</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会议登记表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spacing w:line="584" w:lineRule="exact"/>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spacing w:line="584" w:lineRule="exact"/>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参会人员满意度</w:t>
            </w:r>
          </w:p>
        </w:tc>
        <w:tc>
          <w:tcPr>
            <w:tcW w:w="3402" w:type="dxa"/>
            <w:shd w:val="clear" w:color="auto" w:fill="auto"/>
            <w:vAlign w:val="center"/>
          </w:tcPr>
          <w:p>
            <w:pPr>
              <w:spacing w:line="584" w:lineRule="exact"/>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参会人员满意度</w:t>
            </w:r>
          </w:p>
        </w:tc>
        <w:tc>
          <w:tcPr>
            <w:tcW w:w="1843" w:type="dxa"/>
            <w:shd w:val="clear" w:color="auto" w:fill="auto"/>
            <w:vAlign w:val="center"/>
          </w:tcPr>
          <w:p>
            <w:pPr>
              <w:spacing w:line="584" w:lineRule="exact"/>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spacing w:line="584" w:lineRule="exact"/>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.流动服务车运行全额保障经费绩效目标表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通过流动服务车正常运行，保障各项群众文化活动顺利开展。通过保障各项群众文化活动顺利开展，提高我市文化水平，使全市基本公共文化服务标准化、均等化。</w:t>
            </w:r>
            <w:r>
              <w:rPr>
                <w:rFonts w:hint="eastAsia" w:ascii="仿宋" w:hAnsi="仿宋" w:eastAsia="仿宋" w:cs="仿宋"/>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保障车辆的数量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保障车辆的数量</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1辆</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保障车辆正常运转率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保障车辆正常运转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全年1-12月完成</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全年1-12月完成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车辆每月运行成本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反映车辆每月运行成本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≤2500元/月</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实际服务次数/计划服务次数</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.旅游宣传工作经费绩效目标表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开展系列旅游宣传工作，宣传推介我市旅游资源和旅游产品，更好地宣传三河、展示三河、增强三河的知名度和美誉度，吸引游客来我市旅游度假休闲，有效地实现旅游收入和接待游客人数双增长，旅游消费升级将进一步拉动经济增长。</w:t>
            </w:r>
            <w:r>
              <w:rPr>
                <w:rFonts w:hint="eastAsia" w:ascii="仿宋" w:hAnsi="仿宋" w:eastAsia="仿宋" w:cs="仿宋"/>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设计印制宣传资料数量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设计印制各类文旅宣传资料</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≥10000册</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设计印制宣传资料的质量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各种文旅宣传资料的质量合格率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完成时间</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完成全年工作任务所需时间</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≤12月</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项目单位成本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印制宣传册平均成本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10元/册</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三河文旅事业发展情况</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促进三河文旅事业发展情况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有效促进</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社会公众满意度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现场参与人员对活动的满意程度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.内部设施设备软硬件购置经费绩效目标表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通过项目的开展实现数字资源对读者的普及，保障读者对科技知识的持续热情的实现。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系统更新数字资源数量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馆内系统更新数字资源情况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≥5个</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图书馆评估标准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数字资源正常运转率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数字资源正常运转情况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平台运转记录表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数字资源购买及时性</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数字资源购买情况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参照往年执行情况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自助借还机单个成本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≥7万元/个</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公众账号阅读量</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馆内网站阅读情况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≥5000次</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平台数据统计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平台读者访问的满意度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读者对平台访问的满意度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问卷调查表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.农村公益电影放映地方配套全额保障资金绩效目标表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通过项目的开展，有效地宣传党的路线、方针、政策，普及推广爱国主义教育和科普常识教育；在寓教于乐的基础上，推动农村文化建设。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组织农村公益电影放映活动场次</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组织农村公益电影放映活动4740场</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4740场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廊文字（2012）13号、冀财教[2014]254号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保障全年完成率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保障全年完成100%</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放映实施计划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计划任务按时完成率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全年1-12月及时完成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每场电影放映成本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反映每场电影放映成本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历年资金安排和年度预算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每台数字放映机维修、养护成本</w:t>
            </w:r>
          </w:p>
        </w:tc>
        <w:tc>
          <w:tcPr>
            <w:tcW w:w="3402"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反映每台数字放映机维修、养护成本。</w:t>
            </w:r>
          </w:p>
        </w:tc>
        <w:tc>
          <w:tcPr>
            <w:tcW w:w="1843"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3500元</w:t>
            </w:r>
          </w:p>
        </w:tc>
        <w:tc>
          <w:tcPr>
            <w:tcW w:w="215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历年资金安排和年度预算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普及推广爱国主义教育和科普常识教育</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覆盖全市395个村庄</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效果显著</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放映回执单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反映观众满意度情况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.三河市文化中心运营经费绩效目标表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rPr>
            </w:pPr>
            <w:r>
              <w:rPr>
                <w:rFonts w:hint="eastAsia" w:ascii="仿宋" w:hAnsi="仿宋" w:eastAsia="仿宋" w:cs="仿宋"/>
                <w:kern w:val="2"/>
                <w:sz w:val="21"/>
                <w:szCs w:val="22"/>
                <w:lang w:val="en-US" w:eastAsia="zh-CN" w:bidi="ar-SA"/>
              </w:rPr>
              <w:t>依据采购合同，通过项目的开展，保证文化中心达到正常运转效果，实现满足人民对美好生活的需求的目标。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基础设施物业管理面积</w:t>
            </w:r>
          </w:p>
        </w:tc>
        <w:tc>
          <w:tcPr>
            <w:tcW w:w="340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基础设施物业管理涉及的面积</w:t>
            </w:r>
          </w:p>
        </w:tc>
        <w:tc>
          <w:tcPr>
            <w:tcW w:w="1843"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128亩</w:t>
            </w:r>
          </w:p>
        </w:tc>
        <w:tc>
          <w:tcPr>
            <w:tcW w:w="215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实际完成配套设施量</w:t>
            </w:r>
          </w:p>
        </w:tc>
        <w:tc>
          <w:tcPr>
            <w:tcW w:w="340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实际完成配套设施量占计划完成配套设施量</w:t>
            </w:r>
          </w:p>
        </w:tc>
        <w:tc>
          <w:tcPr>
            <w:tcW w:w="1843"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100百分比</w:t>
            </w:r>
          </w:p>
        </w:tc>
        <w:tc>
          <w:tcPr>
            <w:tcW w:w="215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招标合同、供暖合同及实际发生费用发票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工程完工及时率</w:t>
            </w:r>
          </w:p>
        </w:tc>
        <w:tc>
          <w:tcPr>
            <w:tcW w:w="340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考察工程完工时间</w:t>
            </w:r>
          </w:p>
        </w:tc>
        <w:tc>
          <w:tcPr>
            <w:tcW w:w="1843"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及时完成</w:t>
            </w:r>
          </w:p>
        </w:tc>
        <w:tc>
          <w:tcPr>
            <w:tcW w:w="215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招标合同和供暖合同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成本控制</w:t>
            </w:r>
          </w:p>
        </w:tc>
        <w:tc>
          <w:tcPr>
            <w:tcW w:w="340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物业成本平均控制额</w:t>
            </w:r>
          </w:p>
        </w:tc>
        <w:tc>
          <w:tcPr>
            <w:tcW w:w="1843"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≤112.84元/平米</w:t>
            </w:r>
          </w:p>
        </w:tc>
        <w:tc>
          <w:tcPr>
            <w:tcW w:w="215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通过维护改造，消除安全隐患情况</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通过维护改造，消除安全隐患情况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受益群体调查中，满意和较满意的人数占全部调查人数的比率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.图书馆年度保障人员经费绩效目标表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保障流动服务车正常运转。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工资发放人数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流动服务车司机人员数量</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文财务2022/5号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工作发放率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资金发放情况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工资发放及时性</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工资发放时效</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月平均成本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人均发放水平</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≤5600元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保障正常运转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正常运转情况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有效保障</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工作人员满意度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工资发放人员满意度情况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考核表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.图书馆综合管理人员年度全额保障经费绩效目标表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保证馆内工作人员的正常运行。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工资发放人数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发放工资人数情况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≤18人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市政府督查室585和255号文件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工作发放率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资金发放情况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工资发放及时性</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工资发放时效</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月平均成本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人均发放水平</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≤63780元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保障正常运转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正常运转情况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有效保障</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出勤表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工作人员满意度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工资发放人员满意度情况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考核表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.图书流动服务车经费绩效目标表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"通过流动服务下乡，使全市市民享受均等化的文化服务，更好的满足基层群众的文化需求。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流动服务次数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全年流动次数</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≥30次</w:t>
            </w:r>
          </w:p>
        </w:tc>
        <w:tc>
          <w:tcPr>
            <w:tcW w:w="215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河北省基本公共文化服务实施标准(2016—</w:t>
            </w:r>
          </w:p>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车辆正常运转率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流动服务期间车辆正常运转率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车辆使用登记表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资金使用支出情况</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年度资金使用支出时限</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≤12月</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流动服务成本</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每次下乡流动服务成本</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≤250元</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流动服务覆盖率</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镇级流动文化服务覆盖率</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年度流动服务记录表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服务群众对工作人员服务态度、服务质量的满意度</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根据往年开展流动服务次数数据</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.文保员工作经费绩效目标表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通过项目的开展使野外不可移动文物得到有效的监管和保护。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40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843"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15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文保员人数</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发放劳务费人数情况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21人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劳务费发放精准度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反应劳务费发放人员范围精准性和发放金额的准确性</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劳务费发放及时性</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反应劳务费发放的实效情况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劳务费发放标准</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反应劳务费发放标准</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≤600元/人</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文保工作正常开展</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通过按标准发放劳务费保障文物安全</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保障工作正常开展</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按实际布置工作要求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文保员满意度</w:t>
            </w:r>
          </w:p>
        </w:tc>
        <w:tc>
          <w:tcPr>
            <w:tcW w:w="3402"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反应文保员对劳务费发放的情况</w:t>
            </w:r>
          </w:p>
        </w:tc>
        <w:tc>
          <w:tcPr>
            <w:tcW w:w="1843"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15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.文化馆补充人员年度全额保障经费绩效目标表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492"/>
        <w:gridCol w:w="27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通过流动服务车正常运行，保障各项群众文化活动顺利开展。通过保障各项群众文化活动顺利开展，提高我市文化水平，使全市基本公共文化服务标准化、均等化。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492"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79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数量指标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司机人数</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司机人数</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1人</w:t>
            </w:r>
          </w:p>
        </w:tc>
        <w:tc>
          <w:tcPr>
            <w:tcW w:w="27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lang w:val="en-US" w:eastAsia="uk-UA"/>
              </w:rPr>
            </w:pPr>
            <w:r>
              <w:rPr>
                <w:rFonts w:hint="eastAsia" w:ascii="仿宋" w:hAnsi="仿宋" w:eastAsia="仿宋" w:cs="仿宋"/>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质量指标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保障车辆正常运转率</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保障车辆正常运转</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100百分比</w:t>
            </w:r>
          </w:p>
        </w:tc>
        <w:tc>
          <w:tcPr>
            <w:tcW w:w="279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时效指标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全年1-12月完成</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全年1-12月完成</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100百分比</w:t>
            </w:r>
          </w:p>
        </w:tc>
        <w:tc>
          <w:tcPr>
            <w:tcW w:w="279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成本指标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单车司机成本</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反映单车司机成本</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4万元</w:t>
            </w:r>
          </w:p>
        </w:tc>
        <w:tc>
          <w:tcPr>
            <w:tcW w:w="279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社会效益指标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保障率</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实际服务次数/计划服务次数</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100百分比</w:t>
            </w:r>
          </w:p>
        </w:tc>
        <w:tc>
          <w:tcPr>
            <w:tcW w:w="279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服务对象满意度指标</w:t>
            </w:r>
          </w:p>
        </w:tc>
        <w:tc>
          <w:tcPr>
            <w:tcW w:w="1985"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群众满意度</w:t>
            </w:r>
          </w:p>
        </w:tc>
        <w:tc>
          <w:tcPr>
            <w:tcW w:w="3110"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群众满意度</w:t>
            </w:r>
          </w:p>
        </w:tc>
        <w:tc>
          <w:tcPr>
            <w:tcW w:w="1492"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≥90百分比</w:t>
            </w:r>
          </w:p>
        </w:tc>
        <w:tc>
          <w:tcPr>
            <w:tcW w:w="2798" w:type="dxa"/>
            <w:shd w:val="clear" w:color="auto" w:fill="auto"/>
            <w:vAlign w:val="center"/>
          </w:tcPr>
          <w:p>
            <w:pPr>
              <w:spacing w:line="584" w:lineRule="exact"/>
              <w:jc w:val="center"/>
              <w:rPr>
                <w:rFonts w:hint="eastAsia" w:ascii="仿宋" w:hAnsi="仿宋" w:eastAsia="仿宋" w:cs="仿宋"/>
                <w:lang w:val="en-US" w:eastAsia="uk-UA"/>
              </w:rPr>
            </w:pPr>
            <w:r>
              <w:rPr>
                <w:rFonts w:hint="eastAsia" w:ascii="仿宋" w:hAnsi="仿宋" w:eastAsia="仿宋" w:cs="仿宋"/>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.文化馆公共文化服务体系本级配套全额保障</w:t>
      </w:r>
      <w:r>
        <w:rPr>
          <w:rFonts w:hint="eastAsia" w:ascii="Times New Roman" w:hAnsi="Times New Roman" w:eastAsia="仿宋_GB2312" w:cs="Times New Roman"/>
          <w:sz w:val="28"/>
          <w:lang w:eastAsia="zh-CN"/>
        </w:rPr>
        <w:t>资金</w:t>
      </w:r>
      <w:r>
        <w:rPr>
          <w:rFonts w:ascii="Times New Roman" w:hAnsi="Times New Roman" w:eastAsia="仿宋_GB2312" w:cs="Times New Roman"/>
          <w:sz w:val="28"/>
        </w:rPr>
        <w:t>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cs="Times New Roman" w:eastAsiaTheme="minorEastAsia"/>
                <w:b/>
                <w:lang w:eastAsia="zh-CN"/>
              </w:rPr>
            </w:pPr>
            <w:r>
              <w:rPr>
                <w:rFonts w:ascii="Times New Roman" w:hAnsi="Times New Roman" w:eastAsia="仿宋_GB2312" w:cs="Times New Roman"/>
                <w:kern w:val="2"/>
                <w:sz w:val="21"/>
                <w:szCs w:val="22"/>
                <w:lang w:val="en-US" w:eastAsia="zh-CN" w:bidi="ar-SA"/>
              </w:rPr>
              <w:t>通过开展免费开放活动，使全市基本公共文化服务标准化、均等化。通过开展免费开放活动，提高我市文化水平，使我市文化作品不断产生和提高。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6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3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免费开放活动数量</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免费开放活动数量</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6场</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保障免费开放活动正常运转率</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保障免费开放活动正常运转</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活动按时完成率</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反映活动是否按时完成</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单场活动成本</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反映单场活动成本</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1万元</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观众人次</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反映演出活动观众人次</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≥12000人次</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群众满意度</w:t>
            </w:r>
          </w:p>
        </w:tc>
        <w:tc>
          <w:tcPr>
            <w:tcW w:w="311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群众满意度</w:t>
            </w:r>
          </w:p>
        </w:tc>
        <w:tc>
          <w:tcPr>
            <w:tcW w:w="176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530" w:type="dxa"/>
            <w:shd w:val="clear" w:color="auto" w:fill="auto"/>
            <w:vAlign w:val="center"/>
          </w:tcPr>
          <w:p>
            <w:pPr>
              <w:pStyle w:val="19"/>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.文化惠民文化活动年度全额保障经费绩效目标表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通过开展此项文化惠民演出活动，实现讴歌伟大的党、伟大的祖国、伟大的中国梦和美丽的三河。活跃全市人民的文化生活并达到国家公共文化服务体系示范区的总体要求，顺利通过示范区复检工作。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送公益文化惠民活动场次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送公益文化惠民活动场次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350场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中共廊坊市委廊发【2014】7号《关于创建国家公共文化服务体系示范区的实施意见》。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送公益流动文化服务进基层完成率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年度内送公益文艺演出实际场次数占计划场次的比率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按时完成率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单场演出费用</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反映单场演出费用</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≤0.97万元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提高观众的文化素养，保障群众文化权益，做好文化宣传展示覆盖率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提高观众的文化素养，保障群众文化权益，做好文化宣传展示覆盖率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≥85百分比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.文化活动经费绩效目标表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通过各类培训、展览展示活动，提高我市文化水平，使我市文化作品不断产生和提高，使全市基本公共文化服务标准化、均等化。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≥16次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文化活动按时完成率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反映文化活动是否按时完成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单项文化活动成本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反映单项文化活动成本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观展人次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反映展览活动参展人次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≥5000人次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.文化中心物业管理和正常运转经费绩效目标表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依据采购合同，通过项目的开展，保证文化中心达到正常运转效果，实现满足人民对美好生活的需求的目标。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基础设施物业管理面积</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基础设施物业管理涉及的面积</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128亩</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实际完成配套设施量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实际完成配套设施量占计划完成配套设施量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招标合同、供暖合同及实际发生费用发票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工程完工及时率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考察工程完工时间</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及时完成</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招标合同和供暖合同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成本控制</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物业成本平均控制额</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112.84元/平米</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通过维护改造，消除安全隐患情况</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通过维护改造，消除安全隐患情况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受益群体调查中，满意和较满意的人数占全部调查人数的比率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.文物保护经费绩效目标表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通过项目的开展使文物得到有效的保护及文物安全宣传提升。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征集文物及近现代当代作品数量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征集文物及近现代当代作品数量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文物保护宣传条幅数量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悬挂宣传口号条幅</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≥10幅</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征集文物质量合格率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文物质量合格情况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实际征集文物件数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相关工作完成率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按固定时间开展</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奖励发放及时率</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奖励发放时间</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≤7天</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宣传工作开展及时性</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宣传工作开展时间</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单件文物奖励费用</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单件文物奖励情况</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≤0.2万元</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捐赠奖励协议书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宣传资料成本情况</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宣传资料成本情况</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≤1万元</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文物得到有效保护</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通过征集使文物得到有效保护</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保护文物</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提高公众对文物保护的认知度</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通过宣传增强公众对文物保护意识</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提高公众认知</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主动上交文物者满意度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主动上交文物者满意情况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参与公众满意度</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参与公众对专题展览效果的满意度情况</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.镇级文体中心活动运转经费绩效目标表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通过项目的经费支出，保障文体中心正常运转，正常开放。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开放天数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全年正常开放天数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≥350天</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中心正常运转率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中心正常运转率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全年正常开放天数统计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经费支出时效</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反映经费支出时效及时性</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及时支出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经费支出进度制定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每个镇活动经费成本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每个镇活动经费成本多少</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2.5万元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2022年预算安排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保障中心正常运转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保障中心正常运转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正常运转</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中心运转天数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到中心活动人群满意度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到中心参与活动人数满意率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22</w:t>
      </w:r>
      <w:r>
        <w:rPr>
          <w:rFonts w:ascii="Times New Roman" w:hAnsi="Times New Roman" w:eastAsia="仿宋_GB2312" w:cs="Times New Roman"/>
          <w:sz w:val="28"/>
        </w:rPr>
        <w:t>.驻村工作年度保障经费绩效目标表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主要用于驻村期间必要的办公用品、学习资料、学用品购置，住房、伙食、水电、取暖、网络通信补助，公务邮寄，必要的交通费，可用于派驻村公益事业支出和走访慰问困难群众。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租房</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反映租房的个数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伙食及网络通信月补助天数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≤30天</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任务完成率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为群众提供服务，反映任务完成情况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资金在规定时间内下达率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资金在规定时间内下达率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人均发放水平</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人均每天发放标准</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50元</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租房</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反映租房的个数</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1个</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公共服务水平提升情况</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公共服务水平提升情况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逐步提高</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河北省乡村振兴驻村干部选派管理办法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驻村村民满意度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对群众进行服务满意度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23</w:t>
      </w:r>
      <w:r>
        <w:rPr>
          <w:rFonts w:ascii="Times New Roman" w:hAnsi="Times New Roman" w:eastAsia="仿宋_GB2312" w:cs="Times New Roman"/>
          <w:sz w:val="28"/>
        </w:rPr>
        <w:t>.综合管理人员年度全额保障经费绩效目标表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spacing w:line="584" w:lineRule="exact"/>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通过人员经费的支出，保障中心活动的正常开展，达到丰富群众业余文化生活，提高市民幸福感的效果。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工资发放人数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考察工资发放人数情况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17人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三文广电字（2013）48号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资金发放合格率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符合人员发放标准合格率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资金发放及时率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反映资金发放及时情况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人员月工资标准</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反映所有人员月工资标准</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≤4.65万元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2022年预算编制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保障工作正常运转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反映文体中心工作正常运转情况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正常有序运转</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根据历年预算安排及问题中心实际情况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保障工作正常运转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反映文体中心工作正常运转情况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正常有序运转</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根据历年预算安排及问题中心实际情况</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24</w:t>
      </w:r>
      <w:r>
        <w:rPr>
          <w:rFonts w:ascii="Times New Roman" w:hAnsi="Times New Roman" w:eastAsia="仿宋_GB2312" w:cs="Times New Roman"/>
          <w:sz w:val="28"/>
        </w:rPr>
        <w:t>.2022年三河市文化惠民卡资金（冀财教【2022】151号）绩效目标表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文化惠民卡由市政府全额出资的形式，向当地市民免费发放，为更多人民群众提供乐于参与、便于参与的文旅惠民产品和服务，在一定程度上提升了人民群众的获得感和幸福感，同时也释放了广大群众的文旅消费需求，对促进文我市文旅市场活跃度也起到了积极的推动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发放文化惠民卡的数量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市民领取文化惠民卡的数量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950张</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廊坊文件通知 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发放文化惠民卡合格率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发放文化惠民卡合格率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完成时间</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文化惠民卡发放完成时间</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≤12月</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每张文化惠民卡成本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平均每张文化惠民卡成本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≤421元/张</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提升社会影响力</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促进文化旅游事业影响力</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效果明显</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发放文化惠民卡市民满意度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反映发放文化惠民卡市民满意度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25</w:t>
      </w:r>
      <w:r>
        <w:rPr>
          <w:rFonts w:ascii="Times New Roman" w:hAnsi="Times New Roman" w:eastAsia="仿宋_GB2312" w:cs="Times New Roman"/>
          <w:sz w:val="28"/>
        </w:rPr>
        <w:t>.2023年博物馆纪念馆免费开放补助(冀财教【2022】148号）绩效目标表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使广大群众加深对博物馆的了解与认知，更加了解三河丰富的历史文化资源，使三河的历史文化得到传承。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文物宣讲活动、主题活动、讲座、社会教育活动</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反映人员培训、专家讲座及社会教育活动</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任务完成率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为参观群众提供服务，反映任务完成情况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按时完成</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2023年12月底前完成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按计划完成</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平均举行每场活动及培训所需成本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平均举行每场活动及培训所需成本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≤500元/每次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宣传材料制作合同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提高群众知晓度，促进博物馆长期发展</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加深群众对博物馆的了解与认知，让文物活起来</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逐步提高</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对参观群众进行服务满意度调查</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留言簿或调查问卷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26</w:t>
      </w:r>
      <w:r>
        <w:rPr>
          <w:rFonts w:ascii="Times New Roman" w:hAnsi="Times New Roman" w:eastAsia="仿宋_GB2312" w:cs="Times New Roman"/>
          <w:sz w:val="28"/>
        </w:rPr>
        <w:t>.2023年省级“三馆一站”免费开放补助资金（冀财教【2022】174号）绩效目标表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通过免费开放专项资金的支持，保障图书馆、文化馆、文化站全部免费项社会公共开展基本公共文化服务。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补助资金补助场馆数量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反映补助资金补助场馆数量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补助资金发放合格率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反映补助资金发放合规情况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补助资金发放及时性</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反映补助资金发放及时情况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反映每个文化场馆补助资金成本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反映每个文化场馆补助资金成本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≤0.75万元/个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免费开放水平稳步提升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反映文化禅观免费开放水平提升情况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稳步提升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27</w:t>
      </w:r>
      <w:r>
        <w:rPr>
          <w:rFonts w:ascii="Times New Roman" w:hAnsi="Times New Roman" w:eastAsia="仿宋_GB2312" w:cs="Times New Roman"/>
          <w:sz w:val="28"/>
        </w:rPr>
        <w:t>.2023年省级公共文化服务体系建设补助资金（冀财教【2022】189号）绩效目标表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通过补助资金的及时发放，保障农村公益电影放映工作的正常开展。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补助农村公益电影放映场次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反映补助资金补助的农村公益电影放映场次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4740场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补助资金发放合格率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反映补助资金发放的合格率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补助资金到位及时性</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反映补助资金到位及时性</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每场电影放映补助资金</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反映平均每场电影放映补助资金</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≤15元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促进农村公益电影放映稳步发展</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促进农村公益电影放映稳步发展</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稳步发展</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28</w:t>
      </w:r>
      <w:r>
        <w:rPr>
          <w:rFonts w:ascii="Times New Roman" w:hAnsi="Times New Roman" w:eastAsia="仿宋_GB2312" w:cs="Times New Roman"/>
          <w:sz w:val="28"/>
        </w:rPr>
        <w:t>.2023年中央补助地方公共文化服务体系建设专项资金（冀财教【2022】151号）绩效目标表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通过补助资金的发放，保障广大群众进行文化鉴赏，开展文化活动等基本文化权益。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补助资金补助的文化活动场次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反映补助资金补助的文化活动场次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举办的文化活动资源合格率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反映举办的文化活动资源合格率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补助资金补助的文化活动举办及时性</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反映补助资金补助文化活动开展的时间</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按时开展</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平均每月举办文化活动所需成本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平均每月举办文化活动所需成本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≤16.38万元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促进群众文化生活稳步提升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反映促进群众文化生活稳步提升情况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稳步提升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反映受益群众满意度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29</w:t>
      </w:r>
      <w:r>
        <w:rPr>
          <w:rFonts w:ascii="Times New Roman" w:hAnsi="Times New Roman" w:eastAsia="仿宋_GB2312" w:cs="Times New Roman"/>
          <w:sz w:val="28"/>
        </w:rPr>
        <w:t>.2023年中央补助地方美术馆、公共图书馆、文化馆（站）免费开放补助资金（冀财教【2022】144号）绩效目标表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通过补助资金的使用，达到促进图书馆、文化馆、文化站正常使用的目的。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补助的公共场馆个数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反映补助资金补助的公共场馆个数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补助资金发放合格率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反映补助资金发放合格率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补助资金发放的及时性</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反映补助资金发放的时间及时性</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每个文化站补助资金</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反映每个文化站的补助资金情况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3万元/个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每个文化场馆补助资金</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反映两个文化场馆平均每个文化场馆补助资金</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12万元/个</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免费开放场馆水平提升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反映免费开放场馆服务水平稳步提升情况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稳步提升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受益群众对免费开放场馆满意度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受益群众对免费开放场馆满意度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30</w:t>
      </w:r>
      <w:r>
        <w:rPr>
          <w:rFonts w:ascii="Times New Roman" w:hAnsi="Times New Roman" w:eastAsia="仿宋_GB2312" w:cs="Times New Roman"/>
          <w:sz w:val="28"/>
        </w:rPr>
        <w:t>.博物馆免费开放经费--上级（冀财教【2022】161号）绩效目标表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使广大群众加深对博物馆的了解与认知，更加了解三河丰富的历史文化资源，使三河的历史文化得到传承。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文物宣讲活动、主题活动、讲座、社会教育活动</w:t>
            </w:r>
          </w:p>
          <w:p>
            <w:pPr>
              <w:pStyle w:val="19"/>
              <w:rPr>
                <w:rFonts w:hint="eastAsia" w:ascii="仿宋" w:hAnsi="仿宋" w:eastAsia="仿宋" w:cs="仿宋"/>
                <w:kern w:val="2"/>
                <w:sz w:val="21"/>
                <w:szCs w:val="22"/>
                <w:lang w:val="en-US" w:eastAsia="uk-UA" w:bidi="ar-SA"/>
              </w:rPr>
            </w:pP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走进社区、军营及四个文化站进行文物宣讲；开展清明节、中秋节、博物馆日等相关活动</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15场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任务完成率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为参观群众提供服务，反映任务完成情况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按时完成</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2023年12月底前完成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按计划完成</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活动照片、简报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平均举行每场活动及培训所需成本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平均举行每场活动及培训所需成本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≤6000元/每次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宣传材料制作合同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提高群众知晓度，促进博物馆长期发展</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加深群众对博物馆的了解与认知，让文物活起来</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逐步提高</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按上级文件要求开展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对参观群众进行服务满意度调查</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留言簿或调查问卷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31</w:t>
      </w:r>
      <w:r>
        <w:rPr>
          <w:rFonts w:ascii="Times New Roman" w:hAnsi="Times New Roman" w:eastAsia="仿宋_GB2312" w:cs="Times New Roman"/>
          <w:sz w:val="28"/>
        </w:rPr>
        <w:t>.传统文化进校园经费（冀财教【2022】151号）绩效目标表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通过戏曲进校园文化活动的开展，实现激发学生对优秀传统文化艺术的热爱，形成戏曲传承发展的浓厚氛围。通过戏曲进校园文化活动的开展，提高学生的传统文化素养。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组织传统文化进校园文化活动场次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组织传统文化进校园文化活动场次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中共廊坊市委宣传部廊宣字【2020】8号关于做好2020年“传统文化进校园”有关工作的通知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传统文化进校园完成率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年度内实际演出场次占计划演出场次比率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完成及时率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10月底完成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单场演出费用</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反映单场演出费用</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0.9万元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提高学生的传统文化素养，做好戏曲文化宣传展示覆盖率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提高学生的传统文化素养，做好戏曲文化宣传展示覆盖率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≥85百分比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学生满意度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学生满意度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32</w:t>
      </w:r>
      <w:r>
        <w:rPr>
          <w:rFonts w:ascii="Times New Roman" w:hAnsi="Times New Roman" w:eastAsia="仿宋_GB2312" w:cs="Times New Roman"/>
          <w:sz w:val="28"/>
        </w:rPr>
        <w:t>.传统文化进校园文化活动经费（冀财教【2022】151号）绩效目标表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通过戏曲进校园文化活动的开展，实现激发学生对优秀传统文化艺术的热爱，形成戏曲传承发展的浓厚氛围。通过戏曲进校园文化活动的开展，提高学生的传统文化素养。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组织传统文化进校园文化活动场次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组织传统文化进校园文化活动场次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中共廊坊市委宣传部廊宣字【2020】8号关于做好2020年“传统文化进校园”有关工作的通知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传统文化进校园完成率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年度内实际演出场次占计划演出场次比率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回执单及照片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完成及时率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10月底完成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单场演出费用</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反映单场演出费用</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0.9万元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提高学生的传统文化素养，做好戏曲文化宣传展示覆盖率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提高学生的传统文化素养，做好戏曲文化宣传展示覆盖率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≥85百分比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学生满意度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学生满意度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观众调查表</w:t>
            </w:r>
          </w:p>
        </w:tc>
      </w:tr>
    </w:tbl>
    <w:p>
      <w:p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33</w:t>
      </w:r>
      <w:r>
        <w:rPr>
          <w:rFonts w:ascii="Times New Roman" w:hAnsi="Times New Roman" w:eastAsia="仿宋_GB2312" w:cs="Times New Roman"/>
          <w:sz w:val="28"/>
        </w:rPr>
        <w:t>.对口帮扶阳原县文旅资源推介项目绩效目标表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通过开展系列推介活动，介绍阳原县的特色产品和旅游资源，提高阳原的知名度，带动贫困人口增收，有效实施精准扶贫。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top"/>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参加线下活动人数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活动现场参与人数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≥1000人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文旅企业参与率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本地文旅企业参与此次活动的参与率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≥85百分比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完成时间</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此项目完成时间</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≤10月</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布置每个展位需要资金成本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布置每个展位需要资金成本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原县文旅事业发展情况</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促进阳原县文旅事业发展</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有效促进</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社会公众满意度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现场参与人员对活动的满意程度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34</w:t>
      </w:r>
      <w:r>
        <w:rPr>
          <w:rFonts w:ascii="Times New Roman" w:hAnsi="Times New Roman" w:eastAsia="仿宋_GB2312" w:cs="Times New Roman"/>
          <w:sz w:val="28"/>
        </w:rPr>
        <w:t>.省级非物质文化遗产保护专项资金（冀财教【2022】167号）绩效目标表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通过省级代表性传承人开展传习活动，推动非遗传承保护。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省级代表性传承人传习活动人数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反映补助省级代表性传承人传习活动人数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1人</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冀财教【2022】167号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省级代表性传承人补助发放到位率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反映省级代表性传承人传习活动补助发放到位率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全年1-12月完成</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全年1-12月完成100%</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非物质文化遗产保护单个成本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反映非物质文化遗产保护单个成本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非遗传承人群增长率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反映非遗传承人群增长率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社会公众对非物质文化遗产保护满意度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反映社会公众对非物质文化遗产保护满意度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35</w:t>
      </w:r>
      <w:r>
        <w:rPr>
          <w:rFonts w:ascii="Times New Roman" w:hAnsi="Times New Roman" w:eastAsia="仿宋_GB2312" w:cs="Times New Roman"/>
          <w:sz w:val="28"/>
        </w:rPr>
        <w:t>.文化惠民卡发放项目（冀财教【2022】151号）绩效目标表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文化惠民卡由市政府全额出资的形式，向当地市民免费发放，为更多人民群众提供乐于参与、便于参与的文旅惠民产品和服务，在一定程度上提升了人民群众的获得感和幸福感，同时也释放了广大群众的文旅消费需求，对促进文我市文旅市场活跃度也起到了积极的推动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发放文化惠民卡的数量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市民领取文化惠民卡的数量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950张</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廊坊文件通知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发放的文化惠民卡质量合格率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发放的文化惠民卡质量合格率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领取后台数据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完成时间</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文化惠民卡发放完成时间</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≤12月</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每张文化惠民卡成本金额</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每张文化惠民卡成本金额</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≤337元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提升社会影响力</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促进文化旅游事业影响力</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显著提升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可持续影响指标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三河文旅事业影响</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三河文旅事业影响情况</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稳步促进</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市民满意度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市民满意度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36</w:t>
      </w:r>
      <w:r>
        <w:rPr>
          <w:rFonts w:ascii="Times New Roman" w:hAnsi="Times New Roman" w:eastAsia="仿宋_GB2312" w:cs="Times New Roman"/>
          <w:sz w:val="28"/>
        </w:rPr>
        <w:t>.文化活动经费（冀财教【2022】151号）绩效目标表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通过各类培训、展览展示活动，提高我市文化水平，使我市文化作品不断产生和提高，使全市基本公共文化服务标准化、均等化。通过举办各种比赛，使我市专业艺术创作生产能力不断提高。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文化活动按时完成率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反映文化活动是否按时完成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单项文化活动成本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反映单项文化活动成本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通过观展提升文化生活影响力</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反映通过观展提升文化生活影响力</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显著提升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jc w:val="center"/>
        <w:rPr>
          <w:rFonts w:ascii="Times New Roman" w:hAnsi="Times New Roman" w:eastAsia="仿宋_GB2312" w:cs="Times New Roman"/>
        </w:rPr>
      </w:pPr>
    </w:p>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37</w:t>
      </w:r>
      <w:r>
        <w:rPr>
          <w:rFonts w:ascii="Times New Roman" w:hAnsi="Times New Roman" w:eastAsia="仿宋_GB2312" w:cs="Times New Roman"/>
          <w:sz w:val="28"/>
        </w:rPr>
        <w:t>.文化活动经费（冀财教【2022】191号）绩效目标表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用于开展群众文化大培训教师劳务费；各项群众文化活动所需专用材料费、委托业务费；通讯服务费等。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举办免费开放文化活动次数</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≥16次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保障全年活动正常运转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文化活动按时完成率</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反映文化活动是否按时完成</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单项文化活动成本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反映单项文化活动成本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观展人次</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反映展览活动参展人次</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≥5000人次</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群众满意度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38</w:t>
      </w:r>
      <w:r>
        <w:rPr>
          <w:rFonts w:ascii="Times New Roman" w:hAnsi="Times New Roman" w:eastAsia="仿宋_GB2312" w:cs="Times New Roman"/>
          <w:sz w:val="28"/>
        </w:rPr>
        <w:t>.乡村旅游重点片区基础设施提升建设工程绩效目标表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改善大石各庄村乡村旅游基础设施，提高旅游接待能力，进一步推动采摘和乡村旅游发展。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道路改造</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道路提升改造671米</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≥671米</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墙体粉刷</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墙体粉刷9000平米</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≥9000平米</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雨污管道</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雨、污水管道5000米</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≥5000米</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路灯设立</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路灯45盏</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≥45个</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工程验收</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工程验收合格率</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100百分比</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完成时间</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资金拨付时效</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≤9月</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每项工程改造成本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反映每个工程改造成本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≤6.45万元</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促进乡村旅游发展</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大石各庄乡村旅游接待规模扩大，促进村民收入提高</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有效促进</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生态效益指标</w:t>
            </w:r>
          </w:p>
        </w:tc>
        <w:tc>
          <w:tcPr>
            <w:tcW w:w="1985"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环保成效</w:t>
            </w:r>
          </w:p>
        </w:tc>
        <w:tc>
          <w:tcPr>
            <w:tcW w:w="311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污水管道处理有利于保持村容整洁，居民饮水不受二次污染，有利于可持续绿色发展</w:t>
            </w:r>
          </w:p>
        </w:tc>
        <w:tc>
          <w:tcPr>
            <w:tcW w:w="176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有效促进</w:t>
            </w:r>
          </w:p>
        </w:tc>
        <w:tc>
          <w:tcPr>
            <w:tcW w:w="2530" w:type="dxa"/>
            <w:shd w:val="clear" w:color="auto" w:fill="auto"/>
            <w:vAlign w:val="center"/>
          </w:tcPr>
          <w:p>
            <w:pPr>
              <w:pStyle w:val="19"/>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社会公众满意度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现场参与人员对活动的满意程度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≥90百分比</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调查问卷</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39</w:t>
      </w:r>
      <w:r>
        <w:rPr>
          <w:rFonts w:ascii="Times New Roman" w:hAnsi="Times New Roman" w:eastAsia="仿宋_GB2312" w:cs="Times New Roman"/>
          <w:sz w:val="28"/>
        </w:rPr>
        <w:t>.新型阅读空间项目绩效目标表</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110"/>
        <w:gridCol w:w="1760"/>
        <w:gridCol w:w="25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b/>
                <w:lang w:eastAsia="zh-CN"/>
              </w:rPr>
            </w:pPr>
            <w:r>
              <w:rPr>
                <w:rFonts w:hint="eastAsia" w:ascii="仿宋" w:hAnsi="仿宋" w:eastAsia="仿宋" w:cs="仿宋"/>
                <w:kern w:val="2"/>
                <w:sz w:val="21"/>
                <w:szCs w:val="22"/>
                <w:lang w:val="en-US" w:eastAsia="zh-CN" w:bidi="ar-SA"/>
              </w:rPr>
              <w:t>通过扩大西市区阅读空间，达到满足更多市民阅读需求的目的。建设3座自助借图书室。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一级指标</w:t>
            </w:r>
          </w:p>
        </w:tc>
        <w:tc>
          <w:tcPr>
            <w:tcW w:w="2268"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二级指标</w:t>
            </w:r>
          </w:p>
        </w:tc>
        <w:tc>
          <w:tcPr>
            <w:tcW w:w="1985"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三级指标</w:t>
            </w:r>
          </w:p>
        </w:tc>
        <w:tc>
          <w:tcPr>
            <w:tcW w:w="311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绩效指标描述</w:t>
            </w:r>
          </w:p>
        </w:tc>
        <w:tc>
          <w:tcPr>
            <w:tcW w:w="176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w:t>
            </w:r>
          </w:p>
        </w:tc>
        <w:tc>
          <w:tcPr>
            <w:tcW w:w="2530" w:type="dxa"/>
            <w:shd w:val="clear" w:color="auto" w:fill="auto"/>
            <w:vAlign w:val="center"/>
          </w:tcPr>
          <w:p>
            <w:pPr>
              <w:spacing w:line="584"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产出指标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数量指标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建设数量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建设自助图书室数量</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2个</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质量指标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货物质量</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采购阅读室货物合格率</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100%</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时效指标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资金支付时效</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项目资金支付时效</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及时</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hint="eastAsia" w:ascii="仿宋" w:hAnsi="仿宋" w:eastAsia="仿宋" w:cs="仿宋"/>
              </w:rPr>
            </w:pP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成本指标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货物成本</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自助借还设备成本</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≤20万</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效果指标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社会效益指标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对社会产生的效益</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图书室正常运转情况</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有效保障</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巡检表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hint="eastAsia" w:ascii="仿宋" w:hAnsi="仿宋" w:eastAsia="仿宋" w:cs="仿宋"/>
              </w:rPr>
            </w:pPr>
            <w:r>
              <w:rPr>
                <w:rFonts w:hint="eastAsia" w:ascii="仿宋" w:hAnsi="仿宋" w:eastAsia="仿宋" w:cs="仿宋"/>
              </w:rPr>
              <w:t>满意度指标</w:t>
            </w:r>
          </w:p>
        </w:tc>
        <w:tc>
          <w:tcPr>
            <w:tcW w:w="2268"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服务对象满意度指标</w:t>
            </w:r>
          </w:p>
        </w:tc>
        <w:tc>
          <w:tcPr>
            <w:tcW w:w="1985"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服务对象满意度</w:t>
            </w:r>
          </w:p>
        </w:tc>
        <w:tc>
          <w:tcPr>
            <w:tcW w:w="311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来馆读者对馆内服务的满意度</w:t>
            </w:r>
          </w:p>
        </w:tc>
        <w:tc>
          <w:tcPr>
            <w:tcW w:w="176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≥90%</w:t>
            </w:r>
          </w:p>
        </w:tc>
        <w:tc>
          <w:tcPr>
            <w:tcW w:w="2530" w:type="dxa"/>
            <w:shd w:val="clear" w:color="auto" w:fill="auto"/>
            <w:vAlign w:val="center"/>
          </w:tcPr>
          <w:p>
            <w:pPr>
              <w:pStyle w:val="19"/>
              <w:rPr>
                <w:rFonts w:hint="eastAsia" w:ascii="仿宋" w:hAnsi="仿宋" w:eastAsia="仿宋" w:cs="仿宋"/>
                <w:kern w:val="2"/>
                <w:sz w:val="21"/>
                <w:szCs w:val="22"/>
                <w:lang w:val="en-US" w:eastAsia="uk-UA" w:bidi="ar-SA"/>
              </w:rPr>
            </w:pPr>
            <w:r>
              <w:rPr>
                <w:rFonts w:hint="eastAsia" w:ascii="仿宋" w:hAnsi="仿宋" w:eastAsia="仿宋" w:cs="仿宋"/>
                <w:kern w:val="2"/>
                <w:sz w:val="21"/>
                <w:szCs w:val="22"/>
                <w:lang w:val="en-US" w:eastAsia="zh-CN" w:bidi="ar-SA"/>
              </w:rPr>
              <w:t>满意度调查表</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186.56</w:t>
      </w:r>
      <w:r>
        <w:rPr>
          <w:rFonts w:ascii="Times New Roman" w:hAnsi="Times New Roman" w:eastAsia="仿宋_GB2312" w:cs="Times New Roman"/>
          <w:sz w:val="32"/>
          <w:szCs w:val="24"/>
        </w:rPr>
        <w:t>万元。具体内容见下表。</w:t>
      </w:r>
    </w:p>
    <w:bookmarkEnd w:id="0"/>
    <w:p>
      <w:pPr>
        <w:spacing w:line="584" w:lineRule="exact"/>
        <w:jc w:val="both"/>
        <w:outlineLvl w:val="1"/>
        <w:rPr>
          <w:rFonts w:hint="eastAsia" w:ascii="方正小标宋_GBK" w:eastAsia="方正小标宋_GBK" w:cs="Times New Roman"/>
          <w:sz w:val="32"/>
          <w:lang w:eastAsia="zh-CN"/>
        </w:rPr>
      </w:pPr>
      <w:bookmarkStart w:id="1" w:name="_Toc64920910"/>
    </w:p>
    <w:p>
      <w:pPr>
        <w:spacing w:line="584" w:lineRule="exact"/>
        <w:jc w:val="center"/>
        <w:outlineLvl w:val="1"/>
        <w:rPr>
          <w:rFonts w:hint="eastAsia" w:ascii="方正小标宋_GBK" w:eastAsia="方正小标宋_GBK" w:cs="Times New Roman"/>
          <w:sz w:val="32"/>
          <w:lang w:eastAsia="zh-CN"/>
        </w:rPr>
      </w:pPr>
    </w:p>
    <w:p>
      <w:pPr>
        <w:spacing w:line="584" w:lineRule="exact"/>
        <w:jc w:val="center"/>
        <w:outlineLvl w:val="1"/>
        <w:rPr>
          <w:rFonts w:ascii="方正小标宋_GBK" w:eastAsia="方正小标宋_GBK" w:cs="Times New Roman"/>
          <w:sz w:val="32"/>
        </w:rPr>
      </w:pPr>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left"/>
        <w:outlineLvl w:val="1"/>
        <w:rPr>
          <w:rFonts w:ascii="方正小标宋_GBK" w:eastAsia="方正小标宋_GBK" w:cs="Times New Roman"/>
          <w:sz w:val="32"/>
        </w:rPr>
      </w:pPr>
      <w:r>
        <w:rPr>
          <w:rFonts w:hint="eastAsia"/>
          <w:lang w:val="en-US" w:eastAsia="zh-CN"/>
        </w:rPr>
        <w:t>357001年</w:t>
      </w:r>
      <w:r>
        <w:rPr>
          <w:rFonts w:hint="eastAsia"/>
          <w:lang w:eastAsia="zh-CN"/>
        </w:rPr>
        <w:t>三河</w:t>
      </w:r>
      <w:r>
        <w:t>市</w:t>
      </w:r>
      <w:r>
        <w:rPr>
          <w:rFonts w:hint="eastAsia"/>
          <w:lang w:eastAsia="zh-CN"/>
        </w:rPr>
        <w:t>文化广电和旅游局</w:t>
      </w:r>
      <w:r>
        <w:t xml:space="preserve">                                                               </w:t>
      </w:r>
      <w:r>
        <w:rPr>
          <w:rFonts w:hint="eastAsia"/>
          <w:lang w:val="en-US" w:eastAsia="zh-CN"/>
        </w:rPr>
        <w:t xml:space="preserve">      </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rPr>
                <w:rFonts w:hint="default" w:eastAsia="方正书宋_GBK"/>
                <w:lang w:val="en-US" w:eastAsia="zh-CN"/>
              </w:rPr>
            </w:pPr>
            <w:r>
              <w:rPr>
                <w:rFonts w:hint="eastAsia"/>
                <w:lang w:val="en-US" w:eastAsia="zh-CN"/>
              </w:rPr>
              <w:t>186.56</w:t>
            </w: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rPr>
                <w:rFonts w:hint="default" w:eastAsia="方正书宋_GBK"/>
                <w:lang w:val="en-US" w:eastAsia="zh-CN"/>
              </w:rPr>
            </w:pPr>
            <w:r>
              <w:rPr>
                <w:rFonts w:hint="eastAsia"/>
                <w:lang w:val="en-US" w:eastAsia="zh-CN"/>
              </w:rPr>
              <w:t>186.56</w:t>
            </w:r>
          </w:p>
        </w:tc>
        <w:tc>
          <w:tcPr>
            <w:tcW w:w="964" w:type="dxa"/>
            <w:vAlign w:val="center"/>
          </w:tcPr>
          <w:p>
            <w:pPr>
              <w:pStyle w:val="22"/>
              <w:spacing w:line="584" w:lineRule="exact"/>
              <w:rPr>
                <w:rFonts w:hint="default" w:eastAsia="方正书宋_GBK"/>
                <w:lang w:val="en-US" w:eastAsia="zh-CN"/>
              </w:rPr>
            </w:pPr>
            <w:r>
              <w:rPr>
                <w:rFonts w:hint="eastAsia"/>
                <w:lang w:val="en-US" w:eastAsia="zh-CN"/>
              </w:rPr>
              <w:t>186.56</w:t>
            </w: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rPr>
                <w:rFonts w:hint="default" w:eastAsia="方正书宋_GBK"/>
                <w:lang w:val="en-US" w:eastAsia="zh-CN"/>
              </w:rPr>
            </w:pPr>
            <w:r>
              <w:rPr>
                <w:rFonts w:hint="eastAsia"/>
                <w:lang w:val="en-US" w:eastAsia="zh-CN"/>
              </w:rPr>
              <w:t>186.56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rPr>
                <w:rFonts w:hint="eastAsia" w:ascii="方正书宋_GBK" w:hAnsi="方正书宋_GBK" w:cs="方正书宋_GBK" w:eastAsiaTheme="minorEastAsia"/>
                <w:b/>
                <w:kern w:val="0"/>
                <w:sz w:val="21"/>
                <w:szCs w:val="24"/>
                <w:lang w:val="en-US" w:eastAsia="zh-CN" w:bidi="ar-SA"/>
              </w:rPr>
            </w:pPr>
            <w:r>
              <w:rPr>
                <w:rFonts w:hint="eastAsia" w:eastAsiaTheme="minorEastAsia"/>
                <w:lang w:eastAsia="zh-CN"/>
              </w:rPr>
              <w:t>1</w:t>
            </w:r>
          </w:p>
        </w:tc>
        <w:tc>
          <w:tcPr>
            <w:tcW w:w="964" w:type="dxa"/>
            <w:vAlign w:val="center"/>
          </w:tcPr>
          <w:p>
            <w:pPr>
              <w:pStyle w:val="22"/>
              <w:spacing w:line="584" w:lineRule="exact"/>
              <w:jc w:val="center"/>
              <w:rPr>
                <w:rFonts w:hint="default" w:ascii="方正书宋_GBK" w:hAnsi="方正书宋_GBK" w:cs="方正书宋_GBK" w:eastAsiaTheme="minorEastAsia"/>
                <w:b/>
                <w:kern w:val="0"/>
                <w:sz w:val="21"/>
                <w:szCs w:val="24"/>
                <w:lang w:val="en-US" w:eastAsia="zh-CN" w:bidi="ar-SA"/>
              </w:rPr>
            </w:pPr>
            <w:r>
              <w:rPr>
                <w:rFonts w:hint="eastAsia" w:ascii="Times New Roman" w:hAnsi="Times New Roman" w:eastAsia="仿宋_GB2312" w:cs="Times New Roman"/>
                <w:b w:val="0"/>
                <w:kern w:val="2"/>
                <w:sz w:val="21"/>
                <w:szCs w:val="22"/>
                <w:lang w:val="en-US" w:eastAsia="zh-CN" w:bidi="ar-SA"/>
              </w:rPr>
              <w:t>32</w:t>
            </w:r>
          </w:p>
        </w:tc>
        <w:tc>
          <w:tcPr>
            <w:tcW w:w="1134"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书宋_GBK" w:hAnsi="方正书宋_GBK" w:cs="方正书宋_GBK" w:eastAsiaTheme="minorEastAsia"/>
                <w:b/>
                <w:kern w:val="0"/>
                <w:sz w:val="21"/>
                <w:szCs w:val="24"/>
                <w:lang w:val="en-US" w:eastAsia="zh-CN" w:bidi="ar-SA"/>
              </w:rPr>
            </w:pPr>
            <w:r>
              <w:rPr>
                <w:rFonts w:hint="eastAsia" w:ascii="Times New Roman" w:hAnsi="Times New Roman" w:eastAsia="仿宋_GB2312" w:cs="Times New Roman"/>
                <w:b w:val="0"/>
                <w:kern w:val="2"/>
                <w:sz w:val="21"/>
                <w:szCs w:val="22"/>
                <w:lang w:val="en-US" w:eastAsia="zh-CN" w:bidi="ar-SA"/>
              </w:rPr>
              <w:t>文化惠民卡发放项目（冀财教（2022）151号）</w:t>
            </w:r>
          </w:p>
        </w:tc>
        <w:tc>
          <w:tcPr>
            <w:tcW w:w="113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C06990000其他文化、体育、娱乐服务</w:t>
            </w:r>
          </w:p>
        </w:tc>
        <w:tc>
          <w:tcPr>
            <w:tcW w:w="709"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万元</w:t>
            </w:r>
          </w:p>
        </w:tc>
        <w:tc>
          <w:tcPr>
            <w:tcW w:w="850"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w:t>
            </w:r>
          </w:p>
        </w:tc>
        <w:tc>
          <w:tcPr>
            <w:tcW w:w="850"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32</w:t>
            </w: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32</w:t>
            </w: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32</w:t>
            </w: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rPr>
                <w:rFonts w:hint="default" w:eastAsiaTheme="minorEastAsia"/>
                <w:lang w:val="en-US" w:eastAsia="zh-CN"/>
              </w:rPr>
            </w:pPr>
            <w:r>
              <w:rPr>
                <w:rFonts w:hint="eastAsia" w:eastAsiaTheme="minorEastAsia"/>
                <w:lang w:val="en-US" w:eastAsia="zh-CN"/>
              </w:rPr>
              <w:t>2</w:t>
            </w: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154.56</w:t>
            </w:r>
          </w:p>
        </w:tc>
        <w:tc>
          <w:tcPr>
            <w:tcW w:w="1134" w:type="dxa"/>
            <w:vAlign w:val="center"/>
          </w:tcPr>
          <w:p>
            <w:pPr>
              <w:pStyle w:val="23"/>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新型阅读空间项目</w:t>
            </w:r>
          </w:p>
        </w:tc>
        <w:tc>
          <w:tcPr>
            <w:tcW w:w="1134" w:type="dxa"/>
            <w:vAlign w:val="center"/>
          </w:tcPr>
          <w:p>
            <w:pPr>
              <w:pStyle w:val="22"/>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A02029900其他办公设备</w:t>
            </w:r>
          </w:p>
        </w:tc>
        <w:tc>
          <w:tcPr>
            <w:tcW w:w="709"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万元</w:t>
            </w:r>
          </w:p>
        </w:tc>
        <w:tc>
          <w:tcPr>
            <w:tcW w:w="850"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w:t>
            </w:r>
          </w:p>
        </w:tc>
        <w:tc>
          <w:tcPr>
            <w:tcW w:w="850"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154.56</w:t>
            </w: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154.56</w:t>
            </w: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154.56</w:t>
            </w: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eastAsia" w:ascii="Times New Roman" w:hAnsi="Times New Roman" w:eastAsia="仿宋_GB2312" w:cs="Times New Roman"/>
                <w:b w:val="0"/>
                <w:kern w:val="2"/>
                <w:sz w:val="21"/>
                <w:szCs w:val="22"/>
                <w:lang w:val="en-US" w:eastAsia="uk-UA" w:bidi="ar-SA"/>
              </w:rPr>
            </w:pPr>
          </w:p>
        </w:tc>
        <w:tc>
          <w:tcPr>
            <w:tcW w:w="964" w:type="dxa"/>
            <w:vAlign w:val="center"/>
          </w:tcPr>
          <w:p>
            <w:pPr>
              <w:pStyle w:val="22"/>
              <w:spacing w:line="584" w:lineRule="exact"/>
              <w:jc w:val="center"/>
              <w:rPr>
                <w:rFonts w:hint="default" w:ascii="Times New Roman" w:hAnsi="Times New Roman" w:eastAsia="仿宋_GB2312" w:cs="Times New Roman"/>
                <w:b w:val="0"/>
                <w:kern w:val="2"/>
                <w:sz w:val="21"/>
                <w:szCs w:val="22"/>
                <w:lang w:val="en-US" w:eastAsia="zh-CN" w:bidi="ar-SA"/>
              </w:rPr>
            </w:pPr>
            <w:r>
              <w:rPr>
                <w:rFonts w:hint="eastAsia" w:ascii="Times New Roman" w:hAnsi="Times New Roman" w:eastAsia="仿宋_GB2312" w:cs="Times New Roman"/>
                <w:b w:val="0"/>
                <w:kern w:val="2"/>
                <w:sz w:val="21"/>
                <w:szCs w:val="22"/>
                <w:lang w:val="en-US" w:eastAsia="zh-CN" w:bidi="ar-SA"/>
              </w:rPr>
              <w:t>154.56</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文化广电和旅游局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7679.60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154.56</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新型阅读空间设备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文化广电和旅游局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b/>
                <w:bCs/>
                <w:kern w:val="0"/>
                <w:sz w:val="22"/>
              </w:rPr>
            </w:pPr>
            <w:bookmarkStart w:id="2" w:name="_GoBack" w:colFirst="0" w:colLast="2"/>
            <w:r>
              <w:rPr>
                <w:rFonts w:hint="eastAsia" w:ascii="仿宋" w:hAnsi="仿宋" w:eastAsia="仿宋" w:cs="仿宋"/>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b/>
                <w:bCs/>
                <w:kern w:val="0"/>
                <w:sz w:val="22"/>
              </w:rPr>
            </w:pPr>
            <w:r>
              <w:rPr>
                <w:rFonts w:hint="eastAsia" w:ascii="仿宋" w:hAnsi="仿宋" w:eastAsia="仿宋" w:cs="仿宋"/>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b/>
                <w:bCs/>
                <w:kern w:val="0"/>
                <w:sz w:val="22"/>
              </w:rPr>
            </w:pPr>
            <w:r>
              <w:rPr>
                <w:rFonts w:hint="eastAsia" w:ascii="仿宋" w:hAnsi="仿宋" w:eastAsia="仿宋" w:cs="仿宋"/>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rPr>
            </w:pPr>
            <w:r>
              <w:rPr>
                <w:rFonts w:hint="eastAsia" w:ascii="仿宋" w:hAnsi="仿宋" w:eastAsia="仿宋" w:cs="仿宋"/>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7679.60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1176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100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1176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100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75.95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2889.42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 w:hAnsi="仿宋" w:eastAsia="仿宋" w:cs="仿宋"/>
                <w:kern w:val="0"/>
                <w:sz w:val="22"/>
              </w:rPr>
            </w:pPr>
            <w:r>
              <w:rPr>
                <w:rFonts w:hint="eastAsia" w:ascii="仿宋" w:hAnsi="仿宋" w:eastAsia="仿宋" w:cs="仿宋"/>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3380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 w:hAnsi="仿宋" w:eastAsia="仿宋" w:cs="仿宋"/>
                <w:sz w:val="22"/>
                <w:lang w:val="en-US" w:eastAsia="zh-CN"/>
              </w:rPr>
            </w:pPr>
            <w:r>
              <w:rPr>
                <w:rFonts w:hint="eastAsia" w:ascii="仿宋" w:hAnsi="仿宋" w:eastAsia="仿宋" w:cs="仿宋"/>
                <w:sz w:val="22"/>
                <w:lang w:val="en-US" w:eastAsia="zh-CN"/>
              </w:rPr>
              <w:t>4614.22</w:t>
            </w:r>
          </w:p>
        </w:tc>
      </w:tr>
      <w:bookmarkEnd w:id="2"/>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BiYjMxOWFiYmM0NzVhMjYxMGNiMzA1ZGE0Zjc3MjQ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0E3E06"/>
    <w:rsid w:val="02343ADD"/>
    <w:rsid w:val="035F1EAC"/>
    <w:rsid w:val="053F6F14"/>
    <w:rsid w:val="07E825EE"/>
    <w:rsid w:val="0942532A"/>
    <w:rsid w:val="09791CA1"/>
    <w:rsid w:val="09DF4DF2"/>
    <w:rsid w:val="0A8E6A36"/>
    <w:rsid w:val="0AFD710E"/>
    <w:rsid w:val="17B41F6E"/>
    <w:rsid w:val="1BAC2A13"/>
    <w:rsid w:val="1C5E4DF6"/>
    <w:rsid w:val="1DA41A9A"/>
    <w:rsid w:val="1E4B16CB"/>
    <w:rsid w:val="20C737F0"/>
    <w:rsid w:val="229B31C7"/>
    <w:rsid w:val="2BA75B55"/>
    <w:rsid w:val="2CAE2DAE"/>
    <w:rsid w:val="31ED6432"/>
    <w:rsid w:val="3A7323F1"/>
    <w:rsid w:val="3C4936B2"/>
    <w:rsid w:val="3C860462"/>
    <w:rsid w:val="3E3F7673"/>
    <w:rsid w:val="400F5E81"/>
    <w:rsid w:val="41611538"/>
    <w:rsid w:val="416F3BBA"/>
    <w:rsid w:val="459C4168"/>
    <w:rsid w:val="48554D4D"/>
    <w:rsid w:val="48BA626F"/>
    <w:rsid w:val="49071802"/>
    <w:rsid w:val="4AB749E0"/>
    <w:rsid w:val="4CBE1552"/>
    <w:rsid w:val="51FF0643"/>
    <w:rsid w:val="558879FE"/>
    <w:rsid w:val="57C669AB"/>
    <w:rsid w:val="59796F2C"/>
    <w:rsid w:val="61363882"/>
    <w:rsid w:val="62CF433C"/>
    <w:rsid w:val="64D05561"/>
    <w:rsid w:val="6B463E3C"/>
    <w:rsid w:val="6F6130A3"/>
    <w:rsid w:val="6FEF1F4A"/>
    <w:rsid w:val="741B6FF3"/>
    <w:rsid w:val="767E26AC"/>
    <w:rsid w:val="78E43E1E"/>
    <w:rsid w:val="7BE56195"/>
    <w:rsid w:val="7DD43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20504</Words>
  <Characters>21735</Characters>
  <Lines>35</Lines>
  <Paragraphs>10</Paragraphs>
  <TotalTime>6</TotalTime>
  <ScaleCrop>false</ScaleCrop>
  <LinksUpToDate>false</LinksUpToDate>
  <CharactersWithSpaces>21849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2023-01-29T01:01:00Z</cp:lastPrinted>
  <dcterms:modified xsi:type="dcterms:W3CDTF">2023-03-08T09:53:54Z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EB9C0F9B3BB841678D75DAD72FAD8148</vt:lpwstr>
  </property>
</Properties>
</file>